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62" w:rsidRDefault="007E4694" w:rsidP="007E4694">
      <w:pPr>
        <w:spacing w:after="0" w:line="360" w:lineRule="auto"/>
        <w:ind w:firstLine="709"/>
        <w:rPr>
          <w:rFonts w:ascii="Times New Roman" w:hAnsi="Times New Roman" w:cs="Times New Roman"/>
          <w:b/>
          <w:sz w:val="24"/>
          <w:szCs w:val="24"/>
        </w:rPr>
      </w:pPr>
      <w:r w:rsidRPr="007E4694">
        <w:rPr>
          <w:rFonts w:ascii="Times New Roman" w:hAnsi="Times New Roman" w:cs="Times New Roman"/>
          <w:b/>
          <w:sz w:val="24"/>
          <w:szCs w:val="24"/>
        </w:rPr>
        <w:t>УДК 346</w:t>
      </w:r>
    </w:p>
    <w:p w:rsidR="007E4694" w:rsidRDefault="007E4694" w:rsidP="007E469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Попов Георгий Денисович</w:t>
      </w:r>
    </w:p>
    <w:p w:rsidR="007E4694" w:rsidRDefault="007E4694" w:rsidP="007E469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Уральский государственный юридический университет</w:t>
      </w:r>
    </w:p>
    <w:p w:rsidR="007E4694" w:rsidRDefault="007E4694" w:rsidP="007E469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Россия, Екатеринбург</w:t>
      </w:r>
    </w:p>
    <w:p w:rsidR="006E7562" w:rsidRPr="00C75BAC" w:rsidRDefault="00B744DB" w:rsidP="007E4694">
      <w:pPr>
        <w:spacing w:after="0" w:line="360" w:lineRule="auto"/>
        <w:ind w:firstLine="709"/>
        <w:rPr>
          <w:rFonts w:ascii="Times New Roman" w:hAnsi="Times New Roman" w:cs="Times New Roman"/>
          <w:sz w:val="24"/>
          <w:szCs w:val="24"/>
        </w:rPr>
      </w:pPr>
      <w:hyperlink r:id="rId8" w:history="1">
        <w:r w:rsidR="007E4694" w:rsidRPr="00C41558">
          <w:rPr>
            <w:rStyle w:val="a6"/>
            <w:rFonts w:ascii="Times New Roman" w:hAnsi="Times New Roman" w:cs="Times New Roman"/>
            <w:sz w:val="24"/>
            <w:szCs w:val="24"/>
            <w:lang w:val="en-US"/>
          </w:rPr>
          <w:t>giapd</w:t>
        </w:r>
        <w:r w:rsidR="007E4694" w:rsidRPr="00C75BAC">
          <w:rPr>
            <w:rStyle w:val="a6"/>
            <w:rFonts w:ascii="Times New Roman" w:hAnsi="Times New Roman" w:cs="Times New Roman"/>
            <w:sz w:val="24"/>
            <w:szCs w:val="24"/>
          </w:rPr>
          <w:t>@</w:t>
        </w:r>
        <w:r w:rsidR="007E4694" w:rsidRPr="00C41558">
          <w:rPr>
            <w:rStyle w:val="a6"/>
            <w:rFonts w:ascii="Times New Roman" w:hAnsi="Times New Roman" w:cs="Times New Roman"/>
            <w:sz w:val="24"/>
            <w:szCs w:val="24"/>
            <w:lang w:val="en-US"/>
          </w:rPr>
          <w:t>bk</w:t>
        </w:r>
        <w:r w:rsidR="007E4694" w:rsidRPr="00C75BAC">
          <w:rPr>
            <w:rStyle w:val="a6"/>
            <w:rFonts w:ascii="Times New Roman" w:hAnsi="Times New Roman" w:cs="Times New Roman"/>
            <w:sz w:val="24"/>
            <w:szCs w:val="24"/>
          </w:rPr>
          <w:t>.</w:t>
        </w:r>
        <w:proofErr w:type="spellStart"/>
        <w:r w:rsidR="007E4694" w:rsidRPr="00C41558">
          <w:rPr>
            <w:rStyle w:val="a6"/>
            <w:rFonts w:ascii="Times New Roman" w:hAnsi="Times New Roman" w:cs="Times New Roman"/>
            <w:sz w:val="24"/>
            <w:szCs w:val="24"/>
            <w:lang w:val="en-US"/>
          </w:rPr>
          <w:t>ru</w:t>
        </w:r>
        <w:proofErr w:type="spellEnd"/>
      </w:hyperlink>
    </w:p>
    <w:p w:rsidR="007E4694" w:rsidRPr="00C75BAC" w:rsidRDefault="007E4694" w:rsidP="007E4694">
      <w:pPr>
        <w:spacing w:after="0" w:line="360" w:lineRule="auto"/>
        <w:ind w:firstLine="709"/>
        <w:rPr>
          <w:rFonts w:ascii="Times New Roman" w:hAnsi="Times New Roman" w:cs="Times New Roman"/>
          <w:sz w:val="24"/>
          <w:szCs w:val="24"/>
        </w:rPr>
      </w:pPr>
    </w:p>
    <w:p w:rsidR="00E678B6" w:rsidRDefault="007E4694" w:rsidP="007E4694">
      <w:pPr>
        <w:spacing w:after="0" w:line="360" w:lineRule="auto"/>
        <w:ind w:firstLine="709"/>
        <w:jc w:val="both"/>
        <w:rPr>
          <w:rFonts w:ascii="Times New Roman" w:hAnsi="Times New Roman" w:cs="Times New Roman"/>
          <w:b/>
          <w:sz w:val="24"/>
          <w:szCs w:val="24"/>
        </w:rPr>
      </w:pPr>
      <w:r w:rsidRPr="007E4694">
        <w:rPr>
          <w:rFonts w:ascii="Times New Roman" w:hAnsi="Times New Roman" w:cs="Times New Roman"/>
          <w:b/>
          <w:sz w:val="24"/>
          <w:szCs w:val="24"/>
        </w:rPr>
        <w:t xml:space="preserve">КАРТЕЛЬНЫЕ </w:t>
      </w:r>
      <w:r w:rsidR="00C75BAC">
        <w:rPr>
          <w:rFonts w:ascii="Times New Roman" w:hAnsi="Times New Roman" w:cs="Times New Roman"/>
          <w:b/>
          <w:sz w:val="24"/>
          <w:szCs w:val="24"/>
        </w:rPr>
        <w:t>СОГЛАШЕНИЯ</w:t>
      </w:r>
      <w:r w:rsidRPr="007E4694">
        <w:rPr>
          <w:rFonts w:ascii="Times New Roman" w:hAnsi="Times New Roman" w:cs="Times New Roman"/>
          <w:b/>
          <w:sz w:val="24"/>
          <w:szCs w:val="24"/>
        </w:rPr>
        <w:t xml:space="preserve"> НА ТОРГАХ: ОСОБЕННОСТИ ВЫЯВЛЕНИЯ И ДОКАЗЫВАНИЯ</w:t>
      </w:r>
    </w:p>
    <w:p w:rsidR="007E4694" w:rsidRDefault="007E4694" w:rsidP="007E4694">
      <w:pPr>
        <w:spacing w:after="0" w:line="360" w:lineRule="auto"/>
        <w:ind w:firstLine="709"/>
        <w:jc w:val="both"/>
        <w:rPr>
          <w:rFonts w:ascii="Times New Roman" w:hAnsi="Times New Roman" w:cs="Times New Roman"/>
          <w:b/>
          <w:sz w:val="24"/>
          <w:szCs w:val="24"/>
        </w:rPr>
      </w:pPr>
    </w:p>
    <w:p w:rsidR="007E4694" w:rsidRDefault="007E4694" w:rsidP="007E4694">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Аннотация: </w:t>
      </w:r>
      <w:r>
        <w:rPr>
          <w:rFonts w:ascii="Times New Roman" w:hAnsi="Times New Roman" w:cs="Times New Roman"/>
          <w:sz w:val="24"/>
          <w:szCs w:val="24"/>
        </w:rPr>
        <w:t>В статье рассматриваются основные признаки и схемы реализации картел</w:t>
      </w:r>
      <w:r w:rsidR="007A3941">
        <w:rPr>
          <w:rFonts w:ascii="Times New Roman" w:hAnsi="Times New Roman" w:cs="Times New Roman"/>
          <w:sz w:val="24"/>
          <w:szCs w:val="24"/>
        </w:rPr>
        <w:t>ей</w:t>
      </w:r>
      <w:r>
        <w:rPr>
          <w:rFonts w:ascii="Times New Roman" w:hAnsi="Times New Roman" w:cs="Times New Roman"/>
          <w:sz w:val="24"/>
          <w:szCs w:val="24"/>
        </w:rPr>
        <w:t xml:space="preserve"> на торгах, анализируется</w:t>
      </w:r>
      <w:r w:rsidR="000D797D">
        <w:rPr>
          <w:rFonts w:ascii="Times New Roman" w:hAnsi="Times New Roman" w:cs="Times New Roman"/>
          <w:sz w:val="24"/>
          <w:szCs w:val="24"/>
        </w:rPr>
        <w:t xml:space="preserve"> </w:t>
      </w:r>
      <w:r w:rsidR="007A3941">
        <w:rPr>
          <w:rFonts w:ascii="Times New Roman" w:hAnsi="Times New Roman" w:cs="Times New Roman"/>
          <w:sz w:val="24"/>
          <w:szCs w:val="24"/>
        </w:rPr>
        <w:t xml:space="preserve">правоприменительная </w:t>
      </w:r>
      <w:r w:rsidR="000D797D">
        <w:rPr>
          <w:rFonts w:ascii="Times New Roman" w:hAnsi="Times New Roman" w:cs="Times New Roman"/>
          <w:sz w:val="24"/>
          <w:szCs w:val="24"/>
        </w:rPr>
        <w:t xml:space="preserve">практика на предмет </w:t>
      </w:r>
      <w:r>
        <w:rPr>
          <w:rFonts w:ascii="Times New Roman" w:hAnsi="Times New Roman" w:cs="Times New Roman"/>
          <w:sz w:val="24"/>
          <w:szCs w:val="24"/>
        </w:rPr>
        <w:t>возможны</w:t>
      </w:r>
      <w:r w:rsidR="000D797D">
        <w:rPr>
          <w:rFonts w:ascii="Times New Roman" w:hAnsi="Times New Roman" w:cs="Times New Roman"/>
          <w:sz w:val="24"/>
          <w:szCs w:val="24"/>
        </w:rPr>
        <w:t>х</w:t>
      </w:r>
      <w:r>
        <w:rPr>
          <w:rFonts w:ascii="Times New Roman" w:hAnsi="Times New Roman" w:cs="Times New Roman"/>
          <w:sz w:val="24"/>
          <w:szCs w:val="24"/>
        </w:rPr>
        <w:t xml:space="preserve"> прямы</w:t>
      </w:r>
      <w:r w:rsidR="000D797D">
        <w:rPr>
          <w:rFonts w:ascii="Times New Roman" w:hAnsi="Times New Roman" w:cs="Times New Roman"/>
          <w:sz w:val="24"/>
          <w:szCs w:val="24"/>
        </w:rPr>
        <w:t>х</w:t>
      </w:r>
      <w:r>
        <w:rPr>
          <w:rFonts w:ascii="Times New Roman" w:hAnsi="Times New Roman" w:cs="Times New Roman"/>
          <w:sz w:val="24"/>
          <w:szCs w:val="24"/>
        </w:rPr>
        <w:t xml:space="preserve"> и косвенны</w:t>
      </w:r>
      <w:r w:rsidR="000D797D">
        <w:rPr>
          <w:rFonts w:ascii="Times New Roman" w:hAnsi="Times New Roman" w:cs="Times New Roman"/>
          <w:sz w:val="24"/>
          <w:szCs w:val="24"/>
        </w:rPr>
        <w:t>х</w:t>
      </w:r>
      <w:r>
        <w:rPr>
          <w:rFonts w:ascii="Times New Roman" w:hAnsi="Times New Roman" w:cs="Times New Roman"/>
          <w:sz w:val="24"/>
          <w:szCs w:val="24"/>
        </w:rPr>
        <w:t xml:space="preserve"> доказательств</w:t>
      </w:r>
      <w:r w:rsidR="000D797D">
        <w:rPr>
          <w:rFonts w:ascii="Times New Roman" w:hAnsi="Times New Roman" w:cs="Times New Roman"/>
          <w:sz w:val="24"/>
          <w:szCs w:val="24"/>
        </w:rPr>
        <w:t xml:space="preserve"> их</w:t>
      </w:r>
      <w:r>
        <w:rPr>
          <w:rFonts w:ascii="Times New Roman" w:hAnsi="Times New Roman" w:cs="Times New Roman"/>
          <w:sz w:val="24"/>
          <w:szCs w:val="24"/>
        </w:rPr>
        <w:t xml:space="preserve"> существования</w:t>
      </w:r>
      <w:r w:rsidR="000D797D">
        <w:rPr>
          <w:rFonts w:ascii="Times New Roman" w:hAnsi="Times New Roman" w:cs="Times New Roman"/>
          <w:sz w:val="24"/>
          <w:szCs w:val="24"/>
        </w:rPr>
        <w:t>, анонсируются изменения, предлагаемые к внесению в антимонопольное законодательство в части повышения эффективности выявления и пресечения картелей.</w:t>
      </w:r>
    </w:p>
    <w:p w:rsidR="007A3941" w:rsidRPr="007A3941" w:rsidRDefault="007A3941" w:rsidP="007E4694">
      <w:pPr>
        <w:spacing w:after="0" w:line="360" w:lineRule="auto"/>
        <w:ind w:firstLine="709"/>
        <w:jc w:val="both"/>
        <w:rPr>
          <w:rFonts w:ascii="Times New Roman" w:hAnsi="Times New Roman" w:cs="Times New Roman"/>
          <w:sz w:val="24"/>
          <w:szCs w:val="24"/>
        </w:rPr>
      </w:pPr>
      <w:r w:rsidRPr="007A3941">
        <w:rPr>
          <w:rFonts w:ascii="Times New Roman" w:hAnsi="Times New Roman" w:cs="Times New Roman"/>
          <w:b/>
          <w:sz w:val="24"/>
          <w:szCs w:val="24"/>
        </w:rPr>
        <w:t xml:space="preserve">Ключевые слова: </w:t>
      </w:r>
      <w:r>
        <w:rPr>
          <w:rFonts w:ascii="Times New Roman" w:hAnsi="Times New Roman" w:cs="Times New Roman"/>
          <w:sz w:val="24"/>
          <w:szCs w:val="24"/>
        </w:rPr>
        <w:t xml:space="preserve">картель (картельный сговор, картельное соглашение), торги, конкуренция, </w:t>
      </w:r>
      <w:proofErr w:type="spellStart"/>
      <w:r w:rsidR="004F05A1">
        <w:rPr>
          <w:rFonts w:ascii="Times New Roman" w:hAnsi="Times New Roman" w:cs="Times New Roman"/>
          <w:sz w:val="24"/>
          <w:szCs w:val="24"/>
        </w:rPr>
        <w:t>антиконкурентное</w:t>
      </w:r>
      <w:proofErr w:type="spellEnd"/>
      <w:r w:rsidR="004F05A1">
        <w:rPr>
          <w:rFonts w:ascii="Times New Roman" w:hAnsi="Times New Roman" w:cs="Times New Roman"/>
          <w:sz w:val="24"/>
          <w:szCs w:val="24"/>
        </w:rPr>
        <w:t xml:space="preserve"> поведение, аукционный робот.</w:t>
      </w:r>
    </w:p>
    <w:p w:rsidR="00BC646E" w:rsidRDefault="00BC646E" w:rsidP="00D6622A">
      <w:pPr>
        <w:spacing w:after="0" w:line="360" w:lineRule="auto"/>
        <w:ind w:firstLine="709"/>
        <w:jc w:val="center"/>
        <w:rPr>
          <w:rFonts w:ascii="Times New Roman" w:hAnsi="Times New Roman" w:cs="Times New Roman"/>
          <w:sz w:val="24"/>
          <w:szCs w:val="24"/>
        </w:rPr>
      </w:pPr>
    </w:p>
    <w:p w:rsidR="00BC646E" w:rsidRDefault="00BC646E"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Рыночные отношения, складывающиеся в современном мире, в том числе и в России, в значительной степени подвержены негативному воздействию со стороны их недобросовестных участников, которые своими действиями, направленными на ограничение конкуренции, нивелируют саму сущность этих отношений</w:t>
      </w:r>
      <w:r w:rsidR="00BA57A2">
        <w:rPr>
          <w:rFonts w:ascii="Times New Roman" w:hAnsi="Times New Roman" w:cs="Times New Roman"/>
          <w:sz w:val="24"/>
          <w:szCs w:val="24"/>
        </w:rPr>
        <w:t>, выражающуюся в конкурентной борьбе за лучшие условия и результаты коммерческой деятельности. Одним из проявлений такого негативного воздействия на товарные рынки, о котором</w:t>
      </w:r>
      <w:r w:rsidR="00712374">
        <w:rPr>
          <w:rFonts w:ascii="Times New Roman" w:hAnsi="Times New Roman" w:cs="Times New Roman"/>
          <w:sz w:val="24"/>
          <w:szCs w:val="24"/>
        </w:rPr>
        <w:t xml:space="preserve"> пойдет речь в на</w:t>
      </w:r>
      <w:r w:rsidR="00AD1A21">
        <w:rPr>
          <w:rFonts w:ascii="Times New Roman" w:hAnsi="Times New Roman" w:cs="Times New Roman"/>
          <w:sz w:val="24"/>
          <w:szCs w:val="24"/>
        </w:rPr>
        <w:t>стоящей статье, являются картельные соглашения.</w:t>
      </w:r>
    </w:p>
    <w:p w:rsidR="00AD1A21" w:rsidRDefault="00AD1A21"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данной работы я</w:t>
      </w:r>
      <w:r w:rsidR="0027510B">
        <w:rPr>
          <w:rFonts w:ascii="Times New Roman" w:hAnsi="Times New Roman" w:cs="Times New Roman"/>
          <w:sz w:val="24"/>
          <w:szCs w:val="24"/>
        </w:rPr>
        <w:t xml:space="preserve"> более подробно остановлюсь лишь на проблеме выявления и доказывания картелей</w:t>
      </w:r>
      <w:r w:rsidR="00C75BAC">
        <w:rPr>
          <w:rStyle w:val="a5"/>
          <w:rFonts w:ascii="Times New Roman" w:hAnsi="Times New Roman" w:cs="Times New Roman"/>
          <w:sz w:val="24"/>
          <w:szCs w:val="24"/>
        </w:rPr>
        <w:endnoteReference w:id="1"/>
      </w:r>
      <w:r w:rsidR="0027510B">
        <w:rPr>
          <w:rFonts w:ascii="Times New Roman" w:hAnsi="Times New Roman" w:cs="Times New Roman"/>
          <w:sz w:val="24"/>
          <w:szCs w:val="24"/>
        </w:rPr>
        <w:t xml:space="preserve"> в сфере закупок товаров, работ и услуг</w:t>
      </w:r>
      <w:r w:rsidR="00803A73">
        <w:rPr>
          <w:rFonts w:ascii="Times New Roman" w:hAnsi="Times New Roman" w:cs="Times New Roman"/>
          <w:sz w:val="24"/>
          <w:szCs w:val="24"/>
        </w:rPr>
        <w:t xml:space="preserve">, или картелей </w:t>
      </w:r>
      <w:r w:rsidR="005F531C">
        <w:rPr>
          <w:rFonts w:ascii="Times New Roman" w:hAnsi="Times New Roman" w:cs="Times New Roman"/>
          <w:sz w:val="24"/>
          <w:szCs w:val="24"/>
        </w:rPr>
        <w:t xml:space="preserve">на торгах, как наиболее </w:t>
      </w:r>
      <w:proofErr w:type="spellStart"/>
      <w:r w:rsidR="005F531C">
        <w:rPr>
          <w:rFonts w:ascii="Times New Roman" w:hAnsi="Times New Roman" w:cs="Times New Roman"/>
          <w:sz w:val="24"/>
          <w:szCs w:val="24"/>
        </w:rPr>
        <w:t>картелизованной</w:t>
      </w:r>
      <w:proofErr w:type="spellEnd"/>
      <w:r w:rsidR="005F531C">
        <w:rPr>
          <w:rFonts w:ascii="Times New Roman" w:hAnsi="Times New Roman" w:cs="Times New Roman"/>
          <w:sz w:val="24"/>
          <w:szCs w:val="24"/>
        </w:rPr>
        <w:t xml:space="preserve"> области. Согласно </w:t>
      </w:r>
      <w:r w:rsidR="00033CDC">
        <w:rPr>
          <w:rFonts w:ascii="Times New Roman" w:hAnsi="Times New Roman" w:cs="Times New Roman"/>
          <w:sz w:val="24"/>
          <w:szCs w:val="24"/>
        </w:rPr>
        <w:t xml:space="preserve">официальной </w:t>
      </w:r>
      <w:r w:rsidR="005F531C">
        <w:rPr>
          <w:rFonts w:ascii="Times New Roman" w:hAnsi="Times New Roman" w:cs="Times New Roman"/>
          <w:sz w:val="24"/>
          <w:szCs w:val="24"/>
        </w:rPr>
        <w:t>статистике,</w:t>
      </w:r>
      <w:r w:rsidR="00033CDC">
        <w:rPr>
          <w:rFonts w:ascii="Times New Roman" w:hAnsi="Times New Roman" w:cs="Times New Roman"/>
          <w:sz w:val="24"/>
          <w:szCs w:val="24"/>
        </w:rPr>
        <w:t xml:space="preserve"> представленной ФАС РФ</w:t>
      </w:r>
      <w:r w:rsidR="0074695E">
        <w:rPr>
          <w:rStyle w:val="a5"/>
          <w:rFonts w:ascii="Times New Roman" w:hAnsi="Times New Roman" w:cs="Times New Roman"/>
          <w:sz w:val="24"/>
          <w:szCs w:val="24"/>
        </w:rPr>
        <w:endnoteReference w:id="2"/>
      </w:r>
      <w:r w:rsidR="00033CDC">
        <w:rPr>
          <w:rFonts w:ascii="Times New Roman" w:hAnsi="Times New Roman" w:cs="Times New Roman"/>
          <w:sz w:val="24"/>
          <w:szCs w:val="24"/>
        </w:rPr>
        <w:t>,</w:t>
      </w:r>
      <w:r w:rsidR="005F531C">
        <w:rPr>
          <w:rFonts w:ascii="Times New Roman" w:hAnsi="Times New Roman" w:cs="Times New Roman"/>
          <w:sz w:val="24"/>
          <w:szCs w:val="24"/>
        </w:rPr>
        <w:t xml:space="preserve"> в России за 2019 год было возбуждено 424 дела о нарушении антимонопольного законодательства</w:t>
      </w:r>
      <w:r w:rsidR="005E307A">
        <w:rPr>
          <w:rFonts w:ascii="Times New Roman" w:hAnsi="Times New Roman" w:cs="Times New Roman"/>
          <w:sz w:val="24"/>
          <w:szCs w:val="24"/>
        </w:rPr>
        <w:t xml:space="preserve"> в части принятия </w:t>
      </w:r>
      <w:proofErr w:type="spellStart"/>
      <w:r w:rsidR="005E307A">
        <w:rPr>
          <w:rFonts w:ascii="Times New Roman" w:hAnsi="Times New Roman" w:cs="Times New Roman"/>
          <w:sz w:val="24"/>
          <w:szCs w:val="24"/>
        </w:rPr>
        <w:t>антиконкурентных</w:t>
      </w:r>
      <w:proofErr w:type="spellEnd"/>
      <w:r w:rsidR="005E307A">
        <w:rPr>
          <w:rFonts w:ascii="Times New Roman" w:hAnsi="Times New Roman" w:cs="Times New Roman"/>
          <w:sz w:val="24"/>
          <w:szCs w:val="24"/>
        </w:rPr>
        <w:t xml:space="preserve"> соглашений</w:t>
      </w:r>
      <w:r w:rsidR="005F531C">
        <w:rPr>
          <w:rFonts w:ascii="Times New Roman" w:hAnsi="Times New Roman" w:cs="Times New Roman"/>
          <w:sz w:val="24"/>
          <w:szCs w:val="24"/>
        </w:rPr>
        <w:t>, среди которых 372 (71,7%)</w:t>
      </w:r>
      <w:r w:rsidR="000F1A45">
        <w:rPr>
          <w:rFonts w:ascii="Times New Roman" w:hAnsi="Times New Roman" w:cs="Times New Roman"/>
          <w:sz w:val="24"/>
          <w:szCs w:val="24"/>
        </w:rPr>
        <w:t xml:space="preserve"> – в отношении сговоров на торгах</w:t>
      </w:r>
      <w:r w:rsidR="005E307A">
        <w:rPr>
          <w:rFonts w:ascii="Times New Roman" w:hAnsi="Times New Roman" w:cs="Times New Roman"/>
          <w:sz w:val="24"/>
          <w:szCs w:val="24"/>
        </w:rPr>
        <w:t xml:space="preserve">. При этом, по сравнению с 2018 годом процентное отношение всех выявленных </w:t>
      </w:r>
      <w:proofErr w:type="spellStart"/>
      <w:r w:rsidR="005E307A">
        <w:rPr>
          <w:rFonts w:ascii="Times New Roman" w:hAnsi="Times New Roman" w:cs="Times New Roman"/>
          <w:sz w:val="24"/>
          <w:szCs w:val="24"/>
        </w:rPr>
        <w:t>антиконкурентных</w:t>
      </w:r>
      <w:proofErr w:type="spellEnd"/>
      <w:r w:rsidR="005E307A">
        <w:rPr>
          <w:rFonts w:ascii="Times New Roman" w:hAnsi="Times New Roman" w:cs="Times New Roman"/>
          <w:sz w:val="24"/>
          <w:szCs w:val="24"/>
        </w:rPr>
        <w:t xml:space="preserve"> сговоров к сговорам на торгах сократилось (</w:t>
      </w:r>
      <w:r w:rsidR="00033CDC">
        <w:rPr>
          <w:rFonts w:ascii="Times New Roman" w:hAnsi="Times New Roman" w:cs="Times New Roman"/>
          <w:sz w:val="24"/>
          <w:szCs w:val="24"/>
        </w:rPr>
        <w:t xml:space="preserve">в 2018 – 85,2%). Тем не менее, торги были и остаются наиболее уязвимой для </w:t>
      </w:r>
      <w:proofErr w:type="spellStart"/>
      <w:r w:rsidR="00033CDC">
        <w:rPr>
          <w:rFonts w:ascii="Times New Roman" w:hAnsi="Times New Roman" w:cs="Times New Roman"/>
          <w:sz w:val="24"/>
          <w:szCs w:val="24"/>
        </w:rPr>
        <w:t>картелизации</w:t>
      </w:r>
      <w:proofErr w:type="spellEnd"/>
      <w:r w:rsidR="00033CDC">
        <w:rPr>
          <w:rFonts w:ascii="Times New Roman" w:hAnsi="Times New Roman" w:cs="Times New Roman"/>
          <w:sz w:val="24"/>
          <w:szCs w:val="24"/>
        </w:rPr>
        <w:t xml:space="preserve"> средой.</w:t>
      </w:r>
    </w:p>
    <w:p w:rsidR="00994C41" w:rsidRDefault="00994C41"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Торги можно рассматривать как самостоятельный товарный рынок, однако с определенным, установленным законодательством способом реализации</w:t>
      </w:r>
      <w:r w:rsidRPr="00994C41">
        <w:rPr>
          <w:rFonts w:ascii="Times New Roman" w:hAnsi="Times New Roman" w:cs="Times New Roman"/>
          <w:sz w:val="24"/>
          <w:szCs w:val="24"/>
        </w:rPr>
        <w:t xml:space="preserve"> </w:t>
      </w:r>
      <w:r>
        <w:rPr>
          <w:rFonts w:ascii="Times New Roman" w:hAnsi="Times New Roman" w:cs="Times New Roman"/>
          <w:sz w:val="24"/>
          <w:szCs w:val="24"/>
        </w:rPr>
        <w:t xml:space="preserve">(приобретения) </w:t>
      </w:r>
      <w:r>
        <w:rPr>
          <w:rFonts w:ascii="Times New Roman" w:hAnsi="Times New Roman" w:cs="Times New Roman"/>
          <w:sz w:val="24"/>
          <w:szCs w:val="24"/>
        </w:rPr>
        <w:lastRenderedPageBreak/>
        <w:t>товара</w:t>
      </w:r>
      <w:r w:rsidR="0074695E">
        <w:rPr>
          <w:rStyle w:val="a5"/>
          <w:rFonts w:ascii="Times New Roman" w:hAnsi="Times New Roman" w:cs="Times New Roman"/>
          <w:sz w:val="24"/>
          <w:szCs w:val="24"/>
        </w:rPr>
        <w:endnoteReference w:id="3"/>
      </w:r>
      <w:r w:rsidR="006A57D7">
        <w:rPr>
          <w:rFonts w:ascii="Times New Roman" w:hAnsi="Times New Roman" w:cs="Times New Roman"/>
          <w:sz w:val="24"/>
          <w:szCs w:val="24"/>
        </w:rPr>
        <w:t xml:space="preserve">. </w:t>
      </w:r>
      <w:r w:rsidR="002B4E99">
        <w:rPr>
          <w:rFonts w:ascii="Times New Roman" w:hAnsi="Times New Roman" w:cs="Times New Roman"/>
          <w:sz w:val="24"/>
          <w:szCs w:val="24"/>
        </w:rPr>
        <w:t xml:space="preserve">Повышенный интерес к участию в закупках как площадке, на которой существует реальная возможность реализации картельного соглашения, обусловлен, прежде всего, возможностью </w:t>
      </w:r>
      <w:r w:rsidR="003A3344">
        <w:rPr>
          <w:rFonts w:ascii="Times New Roman" w:hAnsi="Times New Roman" w:cs="Times New Roman"/>
          <w:sz w:val="24"/>
          <w:szCs w:val="24"/>
        </w:rPr>
        <w:t>«получить» контракт по цене, приближенной к начальной максимальной цене контракта (далее – НМЦК). В условиях конкуренции такой шанс стремится к нулю, однако с организацией картеля достижение заветной цели уже не кажется таким призрачным.</w:t>
      </w:r>
    </w:p>
    <w:p w:rsidR="003A3344" w:rsidRPr="00FA47C1" w:rsidRDefault="003A3344"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предлагаю рассмотреть наиболее распространенные среди </w:t>
      </w:r>
      <w:r w:rsidR="001A6B43">
        <w:rPr>
          <w:rFonts w:ascii="Times New Roman" w:hAnsi="Times New Roman" w:cs="Times New Roman"/>
          <w:sz w:val="24"/>
          <w:szCs w:val="24"/>
        </w:rPr>
        <w:t>недобросовестных участников рынка схемы, позволяющие им устранять конкуренцию и, благодаря этому, выигрывать торги.</w:t>
      </w:r>
    </w:p>
    <w:p w:rsidR="0091630C" w:rsidRDefault="0091630C"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из них – схема «</w:t>
      </w:r>
      <w:proofErr w:type="spellStart"/>
      <w:r>
        <w:rPr>
          <w:rFonts w:ascii="Times New Roman" w:hAnsi="Times New Roman" w:cs="Times New Roman"/>
          <w:sz w:val="24"/>
          <w:szCs w:val="24"/>
        </w:rPr>
        <w:t>Подыгрыш</w:t>
      </w:r>
      <w:proofErr w:type="spellEnd"/>
      <w:r>
        <w:rPr>
          <w:rFonts w:ascii="Times New Roman" w:hAnsi="Times New Roman" w:cs="Times New Roman"/>
          <w:sz w:val="24"/>
          <w:szCs w:val="24"/>
        </w:rPr>
        <w:t>»</w:t>
      </w:r>
      <w:r w:rsidR="00134505">
        <w:rPr>
          <w:rStyle w:val="a5"/>
          <w:rFonts w:ascii="Times New Roman" w:hAnsi="Times New Roman" w:cs="Times New Roman"/>
          <w:sz w:val="24"/>
          <w:szCs w:val="24"/>
        </w:rPr>
        <w:endnoteReference w:id="4"/>
      </w:r>
      <w:r w:rsidR="000A23B2">
        <w:rPr>
          <w:rFonts w:ascii="Times New Roman" w:hAnsi="Times New Roman" w:cs="Times New Roman"/>
          <w:sz w:val="24"/>
          <w:szCs w:val="24"/>
        </w:rPr>
        <w:t xml:space="preserve">. </w:t>
      </w:r>
      <w:r w:rsidR="006550DB">
        <w:rPr>
          <w:rFonts w:ascii="Times New Roman" w:hAnsi="Times New Roman" w:cs="Times New Roman"/>
          <w:sz w:val="24"/>
          <w:szCs w:val="24"/>
        </w:rPr>
        <w:t xml:space="preserve">Ее суть заключается в следующем. </w:t>
      </w:r>
      <w:r w:rsidR="000A23B2">
        <w:rPr>
          <w:rFonts w:ascii="Times New Roman" w:hAnsi="Times New Roman" w:cs="Times New Roman"/>
          <w:sz w:val="24"/>
          <w:szCs w:val="24"/>
        </w:rPr>
        <w:t xml:space="preserve">Несколько, как правило, достаточно крупных компаний создают картель, в который привлекают иные, менее крупные. Цель участия последних в таком сговоре исключительно одна – создание видимости конкурентной борьбы на торгах. </w:t>
      </w:r>
      <w:r w:rsidR="006550DB">
        <w:rPr>
          <w:rFonts w:ascii="Times New Roman" w:hAnsi="Times New Roman" w:cs="Times New Roman"/>
          <w:sz w:val="24"/>
          <w:szCs w:val="24"/>
        </w:rPr>
        <w:t xml:space="preserve">В итоге выигрывает их всегда одна и та же компания (картель чаще всего создается на долгосрочный период с целью его реализации на многих торгах), благодаря </w:t>
      </w:r>
      <w:r w:rsidR="001B528D">
        <w:rPr>
          <w:rFonts w:ascii="Times New Roman" w:hAnsi="Times New Roman" w:cs="Times New Roman"/>
          <w:sz w:val="24"/>
          <w:szCs w:val="24"/>
        </w:rPr>
        <w:t>содействию</w:t>
      </w:r>
      <w:r w:rsidR="006550DB">
        <w:rPr>
          <w:rFonts w:ascii="Times New Roman" w:hAnsi="Times New Roman" w:cs="Times New Roman"/>
          <w:sz w:val="24"/>
          <w:szCs w:val="24"/>
        </w:rPr>
        <w:t xml:space="preserve"> тех самых подставных </w:t>
      </w:r>
      <w:r w:rsidR="001B528D">
        <w:rPr>
          <w:rFonts w:ascii="Times New Roman" w:hAnsi="Times New Roman" w:cs="Times New Roman"/>
          <w:sz w:val="24"/>
          <w:szCs w:val="24"/>
        </w:rPr>
        <w:t>участников</w:t>
      </w:r>
      <w:r w:rsidR="006550DB">
        <w:rPr>
          <w:rFonts w:ascii="Times New Roman" w:hAnsi="Times New Roman" w:cs="Times New Roman"/>
          <w:sz w:val="24"/>
          <w:szCs w:val="24"/>
        </w:rPr>
        <w:t xml:space="preserve">. Безусловно, подыгрывающие извлекают и для себя определенную выгоду из этого сговора. Так, </w:t>
      </w:r>
      <w:r w:rsidR="00E55789">
        <w:rPr>
          <w:rFonts w:ascii="Times New Roman" w:hAnsi="Times New Roman" w:cs="Times New Roman"/>
          <w:sz w:val="24"/>
          <w:szCs w:val="24"/>
        </w:rPr>
        <w:t>на</w:t>
      </w:r>
      <w:r w:rsidR="006550DB">
        <w:rPr>
          <w:rFonts w:ascii="Times New Roman" w:hAnsi="Times New Roman" w:cs="Times New Roman"/>
          <w:sz w:val="24"/>
          <w:szCs w:val="24"/>
        </w:rPr>
        <w:t xml:space="preserve"> практике достаточно широко распространены случаи, когда победившая на торгах фирма </w:t>
      </w:r>
      <w:r w:rsidR="00E55789">
        <w:rPr>
          <w:rFonts w:ascii="Times New Roman" w:hAnsi="Times New Roman" w:cs="Times New Roman"/>
          <w:sz w:val="24"/>
          <w:szCs w:val="24"/>
        </w:rPr>
        <w:t xml:space="preserve">изначально не собирается исполнять контракт, а </w:t>
      </w:r>
      <w:r w:rsidR="006550DB">
        <w:rPr>
          <w:rFonts w:ascii="Times New Roman" w:hAnsi="Times New Roman" w:cs="Times New Roman"/>
          <w:sz w:val="24"/>
          <w:szCs w:val="24"/>
        </w:rPr>
        <w:t>заключает с иными участниками данных торгов</w:t>
      </w:r>
      <w:r w:rsidR="00E55789">
        <w:rPr>
          <w:rFonts w:ascii="Times New Roman" w:hAnsi="Times New Roman" w:cs="Times New Roman"/>
          <w:sz w:val="24"/>
          <w:szCs w:val="24"/>
        </w:rPr>
        <w:t>, являющимися участниками картеля,</w:t>
      </w:r>
      <w:r w:rsidR="006550DB">
        <w:rPr>
          <w:rFonts w:ascii="Times New Roman" w:hAnsi="Times New Roman" w:cs="Times New Roman"/>
          <w:sz w:val="24"/>
          <w:szCs w:val="24"/>
        </w:rPr>
        <w:t xml:space="preserve"> договоры субподряда</w:t>
      </w:r>
      <w:r w:rsidR="00E55789">
        <w:rPr>
          <w:rFonts w:ascii="Times New Roman" w:hAnsi="Times New Roman" w:cs="Times New Roman"/>
          <w:sz w:val="24"/>
          <w:szCs w:val="24"/>
        </w:rPr>
        <w:t xml:space="preserve">, давая им таким образом возможность самим выполнить работы по контракту вместо себя и получить определенный процент от </w:t>
      </w:r>
      <w:r w:rsidR="005044A1">
        <w:rPr>
          <w:rFonts w:ascii="Times New Roman" w:hAnsi="Times New Roman" w:cs="Times New Roman"/>
          <w:sz w:val="24"/>
          <w:szCs w:val="24"/>
        </w:rPr>
        <w:t xml:space="preserve">его </w:t>
      </w:r>
      <w:r w:rsidR="00E55789">
        <w:rPr>
          <w:rFonts w:ascii="Times New Roman" w:hAnsi="Times New Roman" w:cs="Times New Roman"/>
          <w:sz w:val="24"/>
          <w:szCs w:val="24"/>
        </w:rPr>
        <w:t>конечной стоимости.</w:t>
      </w:r>
    </w:p>
    <w:p w:rsidR="00CB033B" w:rsidRDefault="00CB033B"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Фирмы могут договариваться побеждать на торгах </w:t>
      </w:r>
      <w:r w:rsidR="001B528D">
        <w:rPr>
          <w:rFonts w:ascii="Times New Roman" w:hAnsi="Times New Roman" w:cs="Times New Roman"/>
          <w:sz w:val="24"/>
          <w:szCs w:val="24"/>
        </w:rPr>
        <w:t xml:space="preserve">и </w:t>
      </w:r>
      <w:r>
        <w:rPr>
          <w:rFonts w:ascii="Times New Roman" w:hAnsi="Times New Roman" w:cs="Times New Roman"/>
          <w:sz w:val="24"/>
          <w:szCs w:val="24"/>
        </w:rPr>
        <w:t>по очереди. Такую схему на практике именуют «Карусель»</w:t>
      </w:r>
      <w:r w:rsidR="00134505">
        <w:rPr>
          <w:rStyle w:val="a5"/>
          <w:rFonts w:ascii="Times New Roman" w:hAnsi="Times New Roman" w:cs="Times New Roman"/>
          <w:sz w:val="24"/>
          <w:szCs w:val="24"/>
        </w:rPr>
        <w:endnoteReference w:id="5"/>
      </w:r>
      <w:r>
        <w:rPr>
          <w:rFonts w:ascii="Times New Roman" w:hAnsi="Times New Roman" w:cs="Times New Roman"/>
          <w:sz w:val="24"/>
          <w:szCs w:val="24"/>
        </w:rPr>
        <w:t>. Помимо определения тех, кто в каких торгах побеждает, участники картеля могут договориться о том, кто в каких торгах вообще будет принимать участие. Данная схема в наибольшей степени (по сравнению с «</w:t>
      </w:r>
      <w:proofErr w:type="spellStart"/>
      <w:r>
        <w:rPr>
          <w:rFonts w:ascii="Times New Roman" w:hAnsi="Times New Roman" w:cs="Times New Roman"/>
          <w:sz w:val="24"/>
          <w:szCs w:val="24"/>
        </w:rPr>
        <w:t>Подыгрышем</w:t>
      </w:r>
      <w:proofErr w:type="spellEnd"/>
      <w:r>
        <w:rPr>
          <w:rFonts w:ascii="Times New Roman" w:hAnsi="Times New Roman" w:cs="Times New Roman"/>
          <w:sz w:val="24"/>
          <w:szCs w:val="24"/>
        </w:rPr>
        <w:t xml:space="preserve">») позволяет обеспечить максимальный уровень латентности </w:t>
      </w:r>
      <w:r w:rsidR="006C0031">
        <w:rPr>
          <w:rFonts w:ascii="Times New Roman" w:hAnsi="Times New Roman" w:cs="Times New Roman"/>
          <w:sz w:val="24"/>
          <w:szCs w:val="24"/>
        </w:rPr>
        <w:t xml:space="preserve">заключенного </w:t>
      </w:r>
      <w:r>
        <w:rPr>
          <w:rFonts w:ascii="Times New Roman" w:hAnsi="Times New Roman" w:cs="Times New Roman"/>
          <w:sz w:val="24"/>
          <w:szCs w:val="24"/>
        </w:rPr>
        <w:t>картельного соглашения.</w:t>
      </w:r>
    </w:p>
    <w:p w:rsidR="006C0031" w:rsidRDefault="006C0031"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Схема «Таран»</w:t>
      </w:r>
      <w:r w:rsidR="00D12C88">
        <w:rPr>
          <w:rStyle w:val="a5"/>
          <w:rFonts w:ascii="Times New Roman" w:hAnsi="Times New Roman" w:cs="Times New Roman"/>
          <w:sz w:val="24"/>
          <w:szCs w:val="24"/>
        </w:rPr>
        <w:endnoteReference w:id="6"/>
      </w:r>
      <w:r>
        <w:rPr>
          <w:rFonts w:ascii="Times New Roman" w:hAnsi="Times New Roman" w:cs="Times New Roman"/>
          <w:sz w:val="24"/>
          <w:szCs w:val="24"/>
        </w:rPr>
        <w:t xml:space="preserve"> - наверно, самая популярная среди участников картеля. </w:t>
      </w:r>
      <w:r w:rsidR="00A14849">
        <w:rPr>
          <w:rFonts w:ascii="Times New Roman" w:hAnsi="Times New Roman" w:cs="Times New Roman"/>
          <w:sz w:val="24"/>
          <w:szCs w:val="24"/>
        </w:rPr>
        <w:t>В него, как правило, входят три компании.</w:t>
      </w:r>
      <w:r w:rsidR="00872D07">
        <w:rPr>
          <w:rFonts w:ascii="Times New Roman" w:hAnsi="Times New Roman" w:cs="Times New Roman"/>
          <w:sz w:val="24"/>
          <w:szCs w:val="24"/>
        </w:rPr>
        <w:t xml:space="preserve"> </w:t>
      </w:r>
      <w:r w:rsidR="00A14849">
        <w:rPr>
          <w:rFonts w:ascii="Times New Roman" w:hAnsi="Times New Roman" w:cs="Times New Roman"/>
          <w:sz w:val="24"/>
          <w:szCs w:val="24"/>
        </w:rPr>
        <w:t>На первом этапе торгов две из них ведут активную «конкурентную» борьбу друг с другом и с иными, добросовестными участниками, не входящими в картель. В итоге цена снижается до суммы, как правило, ниже 50% от НМЦК, причем достаточно быстрыми темпами. Таким образом, два участника картеля занимают на первом этапе торгов соответственно первое и второе место. Так</w:t>
      </w:r>
      <w:r w:rsidR="00872D07">
        <w:rPr>
          <w:rFonts w:ascii="Times New Roman" w:hAnsi="Times New Roman" w:cs="Times New Roman"/>
          <w:sz w:val="24"/>
          <w:szCs w:val="24"/>
        </w:rPr>
        <w:t xml:space="preserve">ое значительное снижение цены контракта приводит к потере интереса со стороны многих добросовестных участников торгов в дальнейшей борьбе за победу. На втором, дополнительном этапе торгов третий участник картеля (именно он по договоренности участников картеля должен победить в </w:t>
      </w:r>
      <w:r w:rsidR="00872D07">
        <w:rPr>
          <w:rFonts w:ascii="Times New Roman" w:hAnsi="Times New Roman" w:cs="Times New Roman"/>
          <w:sz w:val="24"/>
          <w:szCs w:val="24"/>
        </w:rPr>
        <w:lastRenderedPageBreak/>
        <w:t xml:space="preserve">торгах) «соревнуется» с оставшимися добросовестными участниками, предлагая цену чуть ниже предложенной последним добросовестным участником. По сути, его задача – занять третье место в торгах после остальных двух </w:t>
      </w:r>
      <w:proofErr w:type="spellStart"/>
      <w:r w:rsidR="00872D07">
        <w:rPr>
          <w:rFonts w:ascii="Times New Roman" w:hAnsi="Times New Roman" w:cs="Times New Roman"/>
          <w:sz w:val="24"/>
          <w:szCs w:val="24"/>
        </w:rPr>
        <w:t>картелистов</w:t>
      </w:r>
      <w:proofErr w:type="spellEnd"/>
      <w:r w:rsidR="00872D07">
        <w:rPr>
          <w:rFonts w:ascii="Times New Roman" w:hAnsi="Times New Roman" w:cs="Times New Roman"/>
          <w:sz w:val="24"/>
          <w:szCs w:val="24"/>
        </w:rPr>
        <w:t xml:space="preserve">. Смысл состоит в том, что </w:t>
      </w:r>
      <w:r w:rsidR="007E50C7">
        <w:rPr>
          <w:rFonts w:ascii="Times New Roman" w:hAnsi="Times New Roman" w:cs="Times New Roman"/>
          <w:sz w:val="24"/>
          <w:szCs w:val="24"/>
        </w:rPr>
        <w:t xml:space="preserve">после окончания торгов </w:t>
      </w:r>
      <w:r w:rsidR="00872D07">
        <w:rPr>
          <w:rFonts w:ascii="Times New Roman" w:hAnsi="Times New Roman" w:cs="Times New Roman"/>
          <w:sz w:val="24"/>
          <w:szCs w:val="24"/>
        </w:rPr>
        <w:t>по результат</w:t>
      </w:r>
      <w:r w:rsidR="007E50C7">
        <w:rPr>
          <w:rFonts w:ascii="Times New Roman" w:hAnsi="Times New Roman" w:cs="Times New Roman"/>
          <w:sz w:val="24"/>
          <w:szCs w:val="24"/>
        </w:rPr>
        <w:t>а</w:t>
      </w:r>
      <w:r w:rsidR="00872D07">
        <w:rPr>
          <w:rFonts w:ascii="Times New Roman" w:hAnsi="Times New Roman" w:cs="Times New Roman"/>
          <w:sz w:val="24"/>
          <w:szCs w:val="24"/>
        </w:rPr>
        <w:t xml:space="preserve">м проверки вторых частей заявок </w:t>
      </w:r>
      <w:r w:rsidR="007E50C7">
        <w:rPr>
          <w:rFonts w:ascii="Times New Roman" w:hAnsi="Times New Roman" w:cs="Times New Roman"/>
          <w:sz w:val="24"/>
          <w:szCs w:val="24"/>
        </w:rPr>
        <w:t>участников (в которых они должны представить полный пакет документов в соответствии с требованиями законодательства и заказчика) окажется, что компании, занявшие первое и второе место (участники картеля), не представили документацию в полном объеме (разумеется, умышленно), что повлечет за собой их выбытие с торгов и переход статуса победителя, и, соответственно, права заключить контракт к третьему участнику картеля.</w:t>
      </w:r>
    </w:p>
    <w:p w:rsidR="007E50C7" w:rsidRPr="00FA47C1" w:rsidRDefault="007E50C7" w:rsidP="00BC64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названных выше схем</w:t>
      </w:r>
      <w:r w:rsidR="00E047A0">
        <w:rPr>
          <w:rFonts w:ascii="Times New Roman" w:hAnsi="Times New Roman" w:cs="Times New Roman"/>
          <w:sz w:val="24"/>
          <w:szCs w:val="24"/>
        </w:rPr>
        <w:t xml:space="preserve"> </w:t>
      </w:r>
      <w:proofErr w:type="spellStart"/>
      <w:r w:rsidR="00E047A0">
        <w:rPr>
          <w:rFonts w:ascii="Times New Roman" w:hAnsi="Times New Roman" w:cs="Times New Roman"/>
          <w:sz w:val="24"/>
          <w:szCs w:val="24"/>
        </w:rPr>
        <w:t>антиконкурентного</w:t>
      </w:r>
      <w:proofErr w:type="spellEnd"/>
      <w:r w:rsidR="00E047A0">
        <w:rPr>
          <w:rFonts w:ascii="Times New Roman" w:hAnsi="Times New Roman" w:cs="Times New Roman"/>
          <w:sz w:val="24"/>
          <w:szCs w:val="24"/>
        </w:rPr>
        <w:t xml:space="preserve"> поведения на торгах существуют и иные признаки, позволяющие выявить недобросовестных участников</w:t>
      </w:r>
      <w:r w:rsidR="00B31326">
        <w:rPr>
          <w:rFonts w:ascii="Times New Roman" w:hAnsi="Times New Roman" w:cs="Times New Roman"/>
          <w:sz w:val="24"/>
          <w:szCs w:val="24"/>
        </w:rPr>
        <w:t xml:space="preserve">. Так, минимальное число участников на потенциально высококонкурентных торгах может свидетельствовать о наличии </w:t>
      </w:r>
      <w:proofErr w:type="spellStart"/>
      <w:r w:rsidR="00B31326">
        <w:rPr>
          <w:rFonts w:ascii="Times New Roman" w:hAnsi="Times New Roman" w:cs="Times New Roman"/>
          <w:sz w:val="24"/>
          <w:szCs w:val="24"/>
        </w:rPr>
        <w:t>антиконкурентной</w:t>
      </w:r>
      <w:proofErr w:type="spellEnd"/>
      <w:r w:rsidR="00B31326">
        <w:rPr>
          <w:rFonts w:ascii="Times New Roman" w:hAnsi="Times New Roman" w:cs="Times New Roman"/>
          <w:sz w:val="24"/>
          <w:szCs w:val="24"/>
        </w:rPr>
        <w:t xml:space="preserve"> договоренности, в силу которой некоторые хозяйствующие субъекты обязуются не участвовать в торгах, тем самым искусственно создавая предпосылки для борьбы в отсутствие возможной конкуренции</w:t>
      </w:r>
      <w:r w:rsidR="000035E1">
        <w:rPr>
          <w:rFonts w:ascii="Times New Roman" w:hAnsi="Times New Roman" w:cs="Times New Roman"/>
          <w:sz w:val="24"/>
          <w:szCs w:val="24"/>
        </w:rPr>
        <w:t xml:space="preserve">. Минимальное снижение НМКЦ в ходе торгов (как правило, в пределах от 0,5 до 1% «шага аукциона»), особенно при многократности подобных действий, также указывает на их </w:t>
      </w:r>
      <w:proofErr w:type="spellStart"/>
      <w:r w:rsidR="000035E1">
        <w:rPr>
          <w:rFonts w:ascii="Times New Roman" w:hAnsi="Times New Roman" w:cs="Times New Roman"/>
          <w:sz w:val="24"/>
          <w:szCs w:val="24"/>
        </w:rPr>
        <w:t>антиконкурентную</w:t>
      </w:r>
      <w:proofErr w:type="spellEnd"/>
      <w:r w:rsidR="000035E1">
        <w:rPr>
          <w:rFonts w:ascii="Times New Roman" w:hAnsi="Times New Roman" w:cs="Times New Roman"/>
          <w:sz w:val="24"/>
          <w:szCs w:val="24"/>
        </w:rPr>
        <w:t xml:space="preserve"> природу. Кроме того, отказ от дачи ценовых предложений в ходе торгов определенными участниками</w:t>
      </w:r>
      <w:r w:rsidR="00C512F5">
        <w:rPr>
          <w:rFonts w:ascii="Times New Roman" w:hAnsi="Times New Roman" w:cs="Times New Roman"/>
          <w:sz w:val="24"/>
          <w:szCs w:val="24"/>
        </w:rPr>
        <w:t>, а равно неявка подавших заявку участников на торги</w:t>
      </w:r>
      <w:r w:rsidR="000035E1">
        <w:rPr>
          <w:rFonts w:ascii="Times New Roman" w:hAnsi="Times New Roman" w:cs="Times New Roman"/>
          <w:sz w:val="24"/>
          <w:szCs w:val="24"/>
        </w:rPr>
        <w:t xml:space="preserve"> явля</w:t>
      </w:r>
      <w:r w:rsidR="00C512F5">
        <w:rPr>
          <w:rFonts w:ascii="Times New Roman" w:hAnsi="Times New Roman" w:cs="Times New Roman"/>
          <w:sz w:val="24"/>
          <w:szCs w:val="24"/>
        </w:rPr>
        <w:t>ю</w:t>
      </w:r>
      <w:r w:rsidR="000035E1">
        <w:rPr>
          <w:rFonts w:ascii="Times New Roman" w:hAnsi="Times New Roman" w:cs="Times New Roman"/>
          <w:sz w:val="24"/>
          <w:szCs w:val="24"/>
        </w:rPr>
        <w:t>тся экономически необоснованным</w:t>
      </w:r>
      <w:r w:rsidR="00C512F5">
        <w:rPr>
          <w:rFonts w:ascii="Times New Roman" w:hAnsi="Times New Roman" w:cs="Times New Roman"/>
          <w:sz w:val="24"/>
          <w:szCs w:val="24"/>
        </w:rPr>
        <w:t>и</w:t>
      </w:r>
      <w:r w:rsidR="000035E1">
        <w:rPr>
          <w:rFonts w:ascii="Times New Roman" w:hAnsi="Times New Roman" w:cs="Times New Roman"/>
          <w:sz w:val="24"/>
          <w:szCs w:val="24"/>
        </w:rPr>
        <w:t xml:space="preserve">, ведь участие в </w:t>
      </w:r>
      <w:r w:rsidR="00C512F5">
        <w:rPr>
          <w:rFonts w:ascii="Times New Roman" w:hAnsi="Times New Roman" w:cs="Times New Roman"/>
          <w:sz w:val="24"/>
          <w:szCs w:val="24"/>
        </w:rPr>
        <w:t>данной процедуре</w:t>
      </w:r>
      <w:r w:rsidR="000035E1">
        <w:rPr>
          <w:rFonts w:ascii="Times New Roman" w:hAnsi="Times New Roman" w:cs="Times New Roman"/>
          <w:sz w:val="24"/>
          <w:szCs w:val="24"/>
        </w:rPr>
        <w:t xml:space="preserve"> связано с</w:t>
      </w:r>
      <w:r w:rsidR="00C512F5">
        <w:rPr>
          <w:rFonts w:ascii="Times New Roman" w:hAnsi="Times New Roman" w:cs="Times New Roman"/>
          <w:sz w:val="24"/>
          <w:szCs w:val="24"/>
        </w:rPr>
        <w:t>о</w:t>
      </w:r>
      <w:r w:rsidR="000035E1">
        <w:rPr>
          <w:rFonts w:ascii="Times New Roman" w:hAnsi="Times New Roman" w:cs="Times New Roman"/>
          <w:sz w:val="24"/>
          <w:szCs w:val="24"/>
        </w:rPr>
        <w:t xml:space="preserve"> </w:t>
      </w:r>
      <w:r w:rsidR="00C512F5">
        <w:rPr>
          <w:rFonts w:ascii="Times New Roman" w:hAnsi="Times New Roman" w:cs="Times New Roman"/>
          <w:sz w:val="24"/>
          <w:szCs w:val="24"/>
        </w:rPr>
        <w:t>значительными затратами как финансовыми, так и временными</w:t>
      </w:r>
      <w:r w:rsidR="005F1AA2">
        <w:rPr>
          <w:rStyle w:val="a5"/>
          <w:rFonts w:ascii="Times New Roman" w:hAnsi="Times New Roman" w:cs="Times New Roman"/>
          <w:sz w:val="24"/>
          <w:szCs w:val="24"/>
        </w:rPr>
        <w:endnoteReference w:id="7"/>
      </w:r>
      <w:r w:rsidR="00C512F5">
        <w:rPr>
          <w:rFonts w:ascii="Times New Roman" w:hAnsi="Times New Roman" w:cs="Times New Roman"/>
          <w:sz w:val="24"/>
          <w:szCs w:val="24"/>
        </w:rPr>
        <w:t>.</w:t>
      </w:r>
      <w:r w:rsidR="00FA47C1">
        <w:rPr>
          <w:rFonts w:ascii="Times New Roman" w:hAnsi="Times New Roman" w:cs="Times New Roman"/>
          <w:sz w:val="24"/>
          <w:szCs w:val="24"/>
        </w:rPr>
        <w:t xml:space="preserve"> При этом </w:t>
      </w:r>
      <w:r w:rsidR="00FA47C1" w:rsidRPr="00FA47C1">
        <w:rPr>
          <w:rFonts w:ascii="Times New Roman" w:hAnsi="Times New Roman" w:cs="Times New Roman"/>
          <w:sz w:val="24"/>
          <w:szCs w:val="24"/>
        </w:rPr>
        <w:t>отсутствие ценовых предложений от одного из участников торгов само по себе не свидетельствует о наличии между участниками соглашения, запрещенного антимонопольным законодательством</w:t>
      </w:r>
      <w:r w:rsidR="005F1AA2">
        <w:rPr>
          <w:rStyle w:val="a5"/>
          <w:rFonts w:ascii="Times New Roman" w:hAnsi="Times New Roman" w:cs="Times New Roman"/>
          <w:sz w:val="24"/>
          <w:szCs w:val="24"/>
        </w:rPr>
        <w:endnoteReference w:id="8"/>
      </w:r>
      <w:r w:rsidR="00090BAC" w:rsidRPr="00090BAC">
        <w:rPr>
          <w:rFonts w:ascii="Times New Roman" w:hAnsi="Times New Roman" w:cs="Times New Roman"/>
          <w:sz w:val="24"/>
          <w:szCs w:val="24"/>
        </w:rPr>
        <w:t>.</w:t>
      </w:r>
    </w:p>
    <w:p w:rsidR="00642ABD" w:rsidRDefault="00C512F5" w:rsidP="00642A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вышеуказанные </w:t>
      </w:r>
      <w:r w:rsidR="00793958">
        <w:rPr>
          <w:rFonts w:ascii="Times New Roman" w:hAnsi="Times New Roman" w:cs="Times New Roman"/>
          <w:sz w:val="24"/>
          <w:szCs w:val="24"/>
        </w:rPr>
        <w:t xml:space="preserve">действия, осуществляемые участниками торгов, являются так называемыми косвенными доказательствами наличия заключенного картельного соглашения. Их косвенность заключается в том, что они не прямо подтверждают факт картельного сговора, а лишь указывают на нетипичность поведения участников, его экономическую необоснованность в условиях конкурентной борьбы. Прямые же доказательства непосредственно </w:t>
      </w:r>
      <w:r w:rsidR="00642ABD">
        <w:rPr>
          <w:rFonts w:ascii="Times New Roman" w:hAnsi="Times New Roman" w:cs="Times New Roman"/>
          <w:sz w:val="24"/>
          <w:szCs w:val="24"/>
        </w:rPr>
        <w:t xml:space="preserve">подтверждают наличие картельного соглашения. </w:t>
      </w:r>
    </w:p>
    <w:p w:rsidR="00C512F5" w:rsidRDefault="00642ABD" w:rsidP="00642A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Примерный перечень и тех, и других доказательств дополняется </w:t>
      </w:r>
      <w:bookmarkStart w:id="2" w:name="_Hlk53939500"/>
      <w:r w:rsidRPr="00642ABD">
        <w:rPr>
          <w:rFonts w:ascii="Times New Roman" w:hAnsi="Times New Roman" w:cs="Times New Roman"/>
          <w:sz w:val="24"/>
          <w:szCs w:val="24"/>
        </w:rPr>
        <w:t>Разъяснение</w:t>
      </w:r>
      <w:r>
        <w:rPr>
          <w:rFonts w:ascii="Times New Roman" w:hAnsi="Times New Roman" w:cs="Times New Roman"/>
          <w:sz w:val="24"/>
          <w:szCs w:val="24"/>
        </w:rPr>
        <w:t>м</w:t>
      </w:r>
      <w:r w:rsidRPr="00642ABD">
        <w:rPr>
          <w:rFonts w:ascii="Times New Roman" w:hAnsi="Times New Roman" w:cs="Times New Roman"/>
          <w:sz w:val="24"/>
          <w:szCs w:val="24"/>
        </w:rPr>
        <w:t xml:space="preserve"> N 3 Президиума ФАС России "Доказывание недопустимых соглашений (в том числе картелей) и согласованных действий на товарных рынках, в том числе на торгах" (утв. протоколом Президиума ФАС России от 17.02.2016 N 3)</w:t>
      </w:r>
      <w:bookmarkEnd w:id="2"/>
      <w:r w:rsidR="005F1AA2">
        <w:rPr>
          <w:rStyle w:val="a5"/>
          <w:rFonts w:ascii="Times New Roman" w:hAnsi="Times New Roman" w:cs="Times New Roman"/>
          <w:sz w:val="24"/>
          <w:szCs w:val="24"/>
        </w:rPr>
        <w:endnoteReference w:id="9"/>
      </w:r>
      <w:r>
        <w:rPr>
          <w:rFonts w:ascii="Times New Roman" w:hAnsi="Times New Roman" w:cs="Times New Roman"/>
          <w:sz w:val="24"/>
          <w:szCs w:val="24"/>
        </w:rPr>
        <w:t xml:space="preserve">. Так, к прямым доказательствам ФАС относит </w:t>
      </w:r>
      <w:r w:rsidRPr="00642ABD">
        <w:rPr>
          <w:rFonts w:ascii="Times New Roman" w:hAnsi="Times New Roman" w:cs="Times New Roman"/>
          <w:sz w:val="24"/>
          <w:szCs w:val="24"/>
        </w:rPr>
        <w:t xml:space="preserve">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w:t>
      </w:r>
      <w:r w:rsidRPr="00642ABD">
        <w:rPr>
          <w:rFonts w:ascii="Times New Roman" w:hAnsi="Times New Roman" w:cs="Times New Roman"/>
          <w:sz w:val="24"/>
          <w:szCs w:val="24"/>
        </w:rPr>
        <w:lastRenderedPageBreak/>
        <w:t>совещаний (собраний); переписка участников соглашения, в том числе в электронном виде.</w:t>
      </w:r>
      <w:r>
        <w:rPr>
          <w:rFonts w:ascii="Times New Roman" w:hAnsi="Times New Roman" w:cs="Times New Roman"/>
          <w:sz w:val="24"/>
          <w:szCs w:val="24"/>
        </w:rPr>
        <w:t xml:space="preserve"> Среди косвенных доказательств также называются: </w:t>
      </w:r>
      <w:r w:rsidRPr="00642ABD">
        <w:rPr>
          <w:rFonts w:ascii="Times New Roman" w:hAnsi="Times New Roman" w:cs="Times New Roman"/>
          <w:sz w:val="24"/>
          <w:szCs w:val="24"/>
        </w:rPr>
        <w:t>использование участниками торгов одного и того же IP-адреса (учетной записи) при подаче заявок и участии в электронных торгах;</w:t>
      </w:r>
      <w:r>
        <w:rPr>
          <w:rFonts w:ascii="Times New Roman" w:hAnsi="Times New Roman" w:cs="Times New Roman"/>
          <w:sz w:val="24"/>
          <w:szCs w:val="24"/>
        </w:rPr>
        <w:t xml:space="preserve"> </w:t>
      </w:r>
      <w:r w:rsidRPr="00642ABD">
        <w:rPr>
          <w:rFonts w:ascii="Times New Roman" w:hAnsi="Times New Roman" w:cs="Times New Roman"/>
          <w:sz w:val="24"/>
          <w:szCs w:val="24"/>
        </w:rPr>
        <w:t>фактическое расположение участников соглашения по одному и тому же адресу;</w:t>
      </w:r>
      <w:r>
        <w:rPr>
          <w:rFonts w:ascii="Times New Roman" w:hAnsi="Times New Roman" w:cs="Times New Roman"/>
          <w:sz w:val="24"/>
          <w:szCs w:val="24"/>
        </w:rPr>
        <w:t xml:space="preserve"> </w:t>
      </w:r>
      <w:r w:rsidRPr="00642ABD">
        <w:rPr>
          <w:rFonts w:ascii="Times New Roman" w:hAnsi="Times New Roman" w:cs="Times New Roman"/>
          <w:sz w:val="24"/>
          <w:szCs w:val="24"/>
        </w:rPr>
        <w:t>оформление сертификатов электронных цифровых подписей на одно и то же физическое лицо;</w:t>
      </w:r>
      <w:r>
        <w:rPr>
          <w:rFonts w:ascii="Times New Roman" w:hAnsi="Times New Roman" w:cs="Times New Roman"/>
          <w:sz w:val="24"/>
          <w:szCs w:val="24"/>
        </w:rPr>
        <w:t xml:space="preserve"> </w:t>
      </w:r>
      <w:r w:rsidRPr="00642ABD">
        <w:rPr>
          <w:rFonts w:ascii="Times New Roman" w:hAnsi="Times New Roman" w:cs="Times New Roman"/>
          <w:sz w:val="24"/>
          <w:szCs w:val="24"/>
        </w:rPr>
        <w:t>формирование документов для участия в торгах разных хозяйствующих субъектов одним и тем же лицом;</w:t>
      </w:r>
      <w:r>
        <w:rPr>
          <w:rFonts w:ascii="Times New Roman" w:hAnsi="Times New Roman" w:cs="Times New Roman"/>
          <w:sz w:val="24"/>
          <w:szCs w:val="24"/>
        </w:rPr>
        <w:t xml:space="preserve"> </w:t>
      </w:r>
      <w:r w:rsidRPr="00642ABD">
        <w:rPr>
          <w:rFonts w:ascii="Times New Roman" w:hAnsi="Times New Roman" w:cs="Times New Roman"/>
          <w:sz w:val="24"/>
          <w:szCs w:val="24"/>
        </w:rPr>
        <w:t>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7212FE" w:rsidRDefault="00642ABD" w:rsidP="007771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определяется тем же Разъяснением, ф</w:t>
      </w:r>
      <w:r w:rsidRPr="00642ABD">
        <w:rPr>
          <w:rFonts w:ascii="Times New Roman" w:hAnsi="Times New Roman" w:cs="Times New Roman"/>
          <w:sz w:val="24"/>
          <w:szCs w:val="24"/>
        </w:rPr>
        <w:t xml:space="preserve">акт заключения </w:t>
      </w:r>
      <w:proofErr w:type="spellStart"/>
      <w:r w:rsidRPr="00642ABD">
        <w:rPr>
          <w:rFonts w:ascii="Times New Roman" w:hAnsi="Times New Roman" w:cs="Times New Roman"/>
          <w:sz w:val="24"/>
          <w:szCs w:val="24"/>
        </w:rPr>
        <w:t>антиконкурентного</w:t>
      </w:r>
      <w:proofErr w:type="spellEnd"/>
      <w:r w:rsidRPr="00642ABD">
        <w:rPr>
          <w:rFonts w:ascii="Times New Roman" w:hAnsi="Times New Roman" w:cs="Times New Roman"/>
          <w:sz w:val="24"/>
          <w:szCs w:val="24"/>
        </w:rPr>
        <w:t xml:space="preserve"> соглашения может быть установлен как на основании прямых доказательств</w:t>
      </w:r>
      <w:r>
        <w:rPr>
          <w:rFonts w:ascii="Times New Roman" w:hAnsi="Times New Roman" w:cs="Times New Roman"/>
          <w:sz w:val="24"/>
          <w:szCs w:val="24"/>
        </w:rPr>
        <w:t>,</w:t>
      </w:r>
      <w:r w:rsidRPr="00642ABD">
        <w:rPr>
          <w:rFonts w:ascii="Times New Roman" w:hAnsi="Times New Roman" w:cs="Times New Roman"/>
          <w:sz w:val="24"/>
          <w:szCs w:val="24"/>
        </w:rPr>
        <w:t xml:space="preserve"> так и совокупности косвенных доказательств.</w:t>
      </w:r>
      <w:r>
        <w:rPr>
          <w:rFonts w:ascii="Times New Roman" w:hAnsi="Times New Roman" w:cs="Times New Roman"/>
          <w:sz w:val="24"/>
          <w:szCs w:val="24"/>
        </w:rPr>
        <w:t xml:space="preserve"> Отсюда следует, что антимонопольн</w:t>
      </w:r>
      <w:r w:rsidR="00C56AC3">
        <w:rPr>
          <w:rFonts w:ascii="Times New Roman" w:hAnsi="Times New Roman" w:cs="Times New Roman"/>
          <w:sz w:val="24"/>
          <w:szCs w:val="24"/>
        </w:rPr>
        <w:t>ому органу</w:t>
      </w:r>
      <w:r w:rsidR="00601F37">
        <w:rPr>
          <w:rFonts w:ascii="Times New Roman" w:hAnsi="Times New Roman" w:cs="Times New Roman"/>
          <w:sz w:val="24"/>
          <w:szCs w:val="24"/>
        </w:rPr>
        <w:t xml:space="preserve"> для установления картеля необходимо иметь всего лишь одно прямое доказательство или же несколько косвенных, совокупность которых была бы достаточной для констатации факта наличия картельного сговора. Этот же вывод подтверждается и </w:t>
      </w:r>
      <w:bookmarkStart w:id="3" w:name="_Hlk53939575"/>
      <w:r w:rsidR="00601F37">
        <w:rPr>
          <w:rFonts w:ascii="Times New Roman" w:hAnsi="Times New Roman" w:cs="Times New Roman"/>
          <w:sz w:val="24"/>
          <w:szCs w:val="24"/>
        </w:rPr>
        <w:t xml:space="preserve">Постановлением </w:t>
      </w:r>
      <w:r w:rsidR="00601F37" w:rsidRPr="00601F37">
        <w:rPr>
          <w:rFonts w:ascii="Times New Roman" w:hAnsi="Times New Roman" w:cs="Times New Roman"/>
          <w:sz w:val="24"/>
          <w:szCs w:val="24"/>
        </w:rPr>
        <w:t>Арбитражн</w:t>
      </w:r>
      <w:r w:rsidR="00601F37">
        <w:rPr>
          <w:rFonts w:ascii="Times New Roman" w:hAnsi="Times New Roman" w:cs="Times New Roman"/>
          <w:sz w:val="24"/>
          <w:szCs w:val="24"/>
        </w:rPr>
        <w:t>ого</w:t>
      </w:r>
      <w:r w:rsidR="00601F37" w:rsidRPr="00601F37">
        <w:rPr>
          <w:rFonts w:ascii="Times New Roman" w:hAnsi="Times New Roman" w:cs="Times New Roman"/>
          <w:sz w:val="24"/>
          <w:szCs w:val="24"/>
        </w:rPr>
        <w:t xml:space="preserve"> суд</w:t>
      </w:r>
      <w:r w:rsidR="00601F37">
        <w:rPr>
          <w:rFonts w:ascii="Times New Roman" w:hAnsi="Times New Roman" w:cs="Times New Roman"/>
          <w:sz w:val="24"/>
          <w:szCs w:val="24"/>
        </w:rPr>
        <w:t>а</w:t>
      </w:r>
      <w:r w:rsidR="00601F37" w:rsidRPr="00601F37">
        <w:rPr>
          <w:rFonts w:ascii="Times New Roman" w:hAnsi="Times New Roman" w:cs="Times New Roman"/>
          <w:sz w:val="24"/>
          <w:szCs w:val="24"/>
        </w:rPr>
        <w:t xml:space="preserve"> Северо-Западного округа</w:t>
      </w:r>
      <w:r w:rsidR="00601F37">
        <w:rPr>
          <w:rFonts w:ascii="Times New Roman" w:hAnsi="Times New Roman" w:cs="Times New Roman"/>
          <w:sz w:val="24"/>
          <w:szCs w:val="24"/>
        </w:rPr>
        <w:t xml:space="preserve"> </w:t>
      </w:r>
      <w:r w:rsidR="00601F37" w:rsidRPr="00601F37">
        <w:rPr>
          <w:rFonts w:ascii="Times New Roman" w:hAnsi="Times New Roman" w:cs="Times New Roman"/>
          <w:sz w:val="24"/>
          <w:szCs w:val="24"/>
        </w:rPr>
        <w:t>от 23.04.2015 N А42-2564/2014</w:t>
      </w:r>
      <w:bookmarkEnd w:id="3"/>
      <w:r w:rsidR="005F1AA2">
        <w:rPr>
          <w:rStyle w:val="a5"/>
          <w:rFonts w:ascii="Times New Roman" w:hAnsi="Times New Roman" w:cs="Times New Roman"/>
          <w:sz w:val="24"/>
          <w:szCs w:val="24"/>
        </w:rPr>
        <w:endnoteReference w:id="10"/>
      </w:r>
      <w:r w:rsidR="00601F37">
        <w:rPr>
          <w:rFonts w:ascii="Times New Roman" w:hAnsi="Times New Roman" w:cs="Times New Roman"/>
          <w:sz w:val="24"/>
          <w:szCs w:val="24"/>
        </w:rPr>
        <w:t xml:space="preserve">, согласно которому </w:t>
      </w:r>
      <w:r w:rsidR="00601F37" w:rsidRPr="00601F37">
        <w:rPr>
          <w:rFonts w:ascii="Times New Roman" w:hAnsi="Times New Roman" w:cs="Times New Roman"/>
          <w:sz w:val="24"/>
          <w:szCs w:val="24"/>
        </w:rPr>
        <w:t xml:space="preserve">для </w:t>
      </w:r>
      <w:r w:rsidR="00601F37">
        <w:rPr>
          <w:rFonts w:ascii="Times New Roman" w:hAnsi="Times New Roman" w:cs="Times New Roman"/>
          <w:sz w:val="24"/>
          <w:szCs w:val="24"/>
        </w:rPr>
        <w:t>установления</w:t>
      </w:r>
      <w:r w:rsidR="00601F37" w:rsidRPr="00601F37">
        <w:rPr>
          <w:rFonts w:ascii="Times New Roman" w:hAnsi="Times New Roman" w:cs="Times New Roman"/>
          <w:sz w:val="24"/>
          <w:szCs w:val="24"/>
        </w:rPr>
        <w:t xml:space="preserve"> </w:t>
      </w:r>
      <w:proofErr w:type="spellStart"/>
      <w:r w:rsidR="00601F37" w:rsidRPr="00601F37">
        <w:rPr>
          <w:rFonts w:ascii="Times New Roman" w:hAnsi="Times New Roman" w:cs="Times New Roman"/>
          <w:sz w:val="24"/>
          <w:szCs w:val="24"/>
        </w:rPr>
        <w:t>антиконкурентного</w:t>
      </w:r>
      <w:proofErr w:type="spellEnd"/>
      <w:r w:rsidR="00601F37" w:rsidRPr="00601F37">
        <w:rPr>
          <w:rFonts w:ascii="Times New Roman" w:hAnsi="Times New Roman" w:cs="Times New Roman"/>
          <w:sz w:val="24"/>
          <w:szCs w:val="24"/>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r w:rsidR="00777142">
        <w:rPr>
          <w:rFonts w:ascii="Times New Roman" w:hAnsi="Times New Roman" w:cs="Times New Roman"/>
          <w:sz w:val="24"/>
          <w:szCs w:val="24"/>
        </w:rPr>
        <w:t xml:space="preserve"> </w:t>
      </w:r>
      <w:r w:rsidR="007212FE">
        <w:rPr>
          <w:rFonts w:ascii="Times New Roman" w:hAnsi="Times New Roman" w:cs="Times New Roman"/>
          <w:sz w:val="24"/>
          <w:szCs w:val="24"/>
        </w:rPr>
        <w:t xml:space="preserve">Применительно </w:t>
      </w:r>
      <w:r w:rsidR="00777142">
        <w:rPr>
          <w:rFonts w:ascii="Times New Roman" w:hAnsi="Times New Roman" w:cs="Times New Roman"/>
          <w:sz w:val="24"/>
          <w:szCs w:val="24"/>
        </w:rPr>
        <w:t xml:space="preserve">к картелям на торгах также существует позиция ФАС, подтвержденная впоследствии судами, содержащаяся в </w:t>
      </w:r>
      <w:bookmarkStart w:id="4" w:name="_Hlk53939667"/>
      <w:r w:rsidR="00777142" w:rsidRPr="00777142">
        <w:rPr>
          <w:rFonts w:ascii="Times New Roman" w:hAnsi="Times New Roman" w:cs="Times New Roman"/>
          <w:sz w:val="24"/>
          <w:szCs w:val="24"/>
        </w:rPr>
        <w:t>Решени</w:t>
      </w:r>
      <w:r w:rsidR="00777142">
        <w:rPr>
          <w:rFonts w:ascii="Times New Roman" w:hAnsi="Times New Roman" w:cs="Times New Roman"/>
          <w:sz w:val="24"/>
          <w:szCs w:val="24"/>
        </w:rPr>
        <w:t>и</w:t>
      </w:r>
      <w:r w:rsidR="00777142" w:rsidRPr="00777142">
        <w:rPr>
          <w:rFonts w:ascii="Times New Roman" w:hAnsi="Times New Roman" w:cs="Times New Roman"/>
          <w:sz w:val="24"/>
          <w:szCs w:val="24"/>
        </w:rPr>
        <w:t xml:space="preserve"> ФАС России по делу N 1 11/158-10 от 06.07.2011</w:t>
      </w:r>
      <w:bookmarkEnd w:id="4"/>
      <w:r w:rsidR="00CD4341">
        <w:rPr>
          <w:rStyle w:val="a5"/>
          <w:rFonts w:ascii="Times New Roman" w:hAnsi="Times New Roman" w:cs="Times New Roman"/>
          <w:sz w:val="24"/>
          <w:szCs w:val="24"/>
        </w:rPr>
        <w:endnoteReference w:id="11"/>
      </w:r>
      <w:r w:rsidR="00777142" w:rsidRPr="00777142">
        <w:rPr>
          <w:rFonts w:ascii="Times New Roman" w:hAnsi="Times New Roman" w:cs="Times New Roman"/>
          <w:sz w:val="24"/>
          <w:szCs w:val="24"/>
        </w:rPr>
        <w:t>; решения</w:t>
      </w:r>
      <w:r w:rsidR="00777142">
        <w:rPr>
          <w:rFonts w:ascii="Times New Roman" w:hAnsi="Times New Roman" w:cs="Times New Roman"/>
          <w:sz w:val="24"/>
          <w:szCs w:val="24"/>
        </w:rPr>
        <w:t>х</w:t>
      </w:r>
      <w:r w:rsidR="00777142" w:rsidRPr="00777142">
        <w:rPr>
          <w:rFonts w:ascii="Times New Roman" w:hAnsi="Times New Roman" w:cs="Times New Roman"/>
          <w:sz w:val="24"/>
          <w:szCs w:val="24"/>
        </w:rPr>
        <w:t xml:space="preserve"> судов по делу N А40-106906/11</w:t>
      </w:r>
      <w:r w:rsidR="00777142">
        <w:rPr>
          <w:rFonts w:ascii="Times New Roman" w:hAnsi="Times New Roman" w:cs="Times New Roman"/>
          <w:sz w:val="24"/>
          <w:szCs w:val="24"/>
        </w:rPr>
        <w:t xml:space="preserve">. Решениями была подтверждена возможность </w:t>
      </w:r>
      <w:r w:rsidR="00777142" w:rsidRPr="00777142">
        <w:rPr>
          <w:rFonts w:ascii="Times New Roman" w:hAnsi="Times New Roman" w:cs="Times New Roman"/>
          <w:sz w:val="24"/>
          <w:szCs w:val="24"/>
        </w:rPr>
        <w:t>доказывания картеля на торгах, исходя исключительно из поведения его участников до, после и во время торгов при отсутствии каких-либо прямых доказательств картеля</w:t>
      </w:r>
      <w:r w:rsidR="00777142">
        <w:rPr>
          <w:rFonts w:ascii="Times New Roman" w:hAnsi="Times New Roman" w:cs="Times New Roman"/>
          <w:sz w:val="24"/>
          <w:szCs w:val="24"/>
        </w:rPr>
        <w:t>.</w:t>
      </w:r>
    </w:p>
    <w:p w:rsidR="00A23536" w:rsidRDefault="00A23536" w:rsidP="007771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полно предмет доказывания по делу о картеле на торгах отражен в </w:t>
      </w:r>
      <w:bookmarkStart w:id="5" w:name="_Hlk53939705"/>
      <w:r w:rsidRPr="00A23536">
        <w:rPr>
          <w:rFonts w:ascii="Times New Roman" w:hAnsi="Times New Roman" w:cs="Times New Roman"/>
          <w:sz w:val="24"/>
          <w:szCs w:val="24"/>
        </w:rPr>
        <w:t>Определении Верховного Суда РФ от 23.03.2016 N 303-ЭС16-1300 по делу N А51-23833/2013</w:t>
      </w:r>
      <w:bookmarkEnd w:id="5"/>
      <w:r w:rsidR="00CD4341">
        <w:rPr>
          <w:rStyle w:val="a5"/>
          <w:rFonts w:ascii="Times New Roman" w:hAnsi="Times New Roman" w:cs="Times New Roman"/>
          <w:sz w:val="24"/>
          <w:szCs w:val="24"/>
        </w:rPr>
        <w:endnoteReference w:id="12"/>
      </w:r>
      <w:r>
        <w:rPr>
          <w:rFonts w:ascii="Times New Roman" w:hAnsi="Times New Roman" w:cs="Times New Roman"/>
          <w:sz w:val="24"/>
          <w:szCs w:val="24"/>
        </w:rPr>
        <w:t xml:space="preserve">. Так, </w:t>
      </w:r>
      <w:r w:rsidRPr="00A23536">
        <w:rPr>
          <w:rFonts w:ascii="Times New Roman" w:hAnsi="Times New Roman" w:cs="Times New Roman"/>
          <w:sz w:val="24"/>
          <w:szCs w:val="24"/>
        </w:rPr>
        <w:t xml:space="preserve">квалификация поведения хозяйствующих субъектов как противоправных действий по п. 2 ч. 1 ст. 11 Закона о защите конкуренции предполагает установление таких факторов, как намеренное поведение каждого хозяйствующего субъекта определенным образом для достижения заранее оговоренной участниками аукциона цели; причинно-следственная связь между действиями участников аукциона и поддержанием цены на торгах; соответствие результата действий интересам каждого хозяйствующего субъекта и </w:t>
      </w:r>
      <w:r w:rsidRPr="00A23536">
        <w:rPr>
          <w:rFonts w:ascii="Times New Roman" w:hAnsi="Times New Roman" w:cs="Times New Roman"/>
          <w:sz w:val="24"/>
          <w:szCs w:val="24"/>
        </w:rPr>
        <w:lastRenderedPageBreak/>
        <w:t>одновременно их заведомая осведомленность о будущих действиях друг друга; а также взаимная обусловленность действий участников аукциона при отсутствии внешних обстоятельств, спровоцировавших синхронное поведение участников рынка</w:t>
      </w:r>
      <w:r w:rsidR="007B26B0">
        <w:rPr>
          <w:rFonts w:ascii="Times New Roman" w:hAnsi="Times New Roman" w:cs="Times New Roman"/>
          <w:sz w:val="24"/>
          <w:szCs w:val="24"/>
        </w:rPr>
        <w:t>. Очевидно, что совокупность данных обстоятельств подлежит установлению в том случае, когда отсутствуют какие-либо прямые доказательства, непосредственно указывающие на наличие картельного соглашения (см. выше), однако</w:t>
      </w:r>
      <w:r w:rsidR="004B0F08">
        <w:rPr>
          <w:rFonts w:ascii="Times New Roman" w:hAnsi="Times New Roman" w:cs="Times New Roman"/>
          <w:sz w:val="24"/>
          <w:szCs w:val="24"/>
        </w:rPr>
        <w:t xml:space="preserve"> имеется ряд косвенных</w:t>
      </w:r>
      <w:r w:rsidR="00CD171F">
        <w:rPr>
          <w:rFonts w:ascii="Times New Roman" w:hAnsi="Times New Roman" w:cs="Times New Roman"/>
          <w:sz w:val="24"/>
          <w:szCs w:val="24"/>
        </w:rPr>
        <w:t>. Это следует из того, что в случае выявления антимонопольным органом прямого волеизъявления хозяйствующих субъектов на манипулирование ценой на торгах отсутствует необходимость в доказывании наступления негативных последствий в виде ограничения конкуренции, а также причинно-следственной связи между действиями</w:t>
      </w:r>
      <w:r w:rsidR="00400522">
        <w:rPr>
          <w:rFonts w:ascii="Times New Roman" w:hAnsi="Times New Roman" w:cs="Times New Roman"/>
          <w:sz w:val="24"/>
          <w:szCs w:val="24"/>
        </w:rPr>
        <w:t xml:space="preserve"> </w:t>
      </w:r>
      <w:proofErr w:type="spellStart"/>
      <w:r w:rsidR="00400522">
        <w:rPr>
          <w:rFonts w:ascii="Times New Roman" w:hAnsi="Times New Roman" w:cs="Times New Roman"/>
          <w:sz w:val="24"/>
          <w:szCs w:val="24"/>
        </w:rPr>
        <w:t>картелистов</w:t>
      </w:r>
      <w:proofErr w:type="spellEnd"/>
      <w:r w:rsidR="00400522">
        <w:rPr>
          <w:rFonts w:ascii="Times New Roman" w:hAnsi="Times New Roman" w:cs="Times New Roman"/>
          <w:sz w:val="24"/>
          <w:szCs w:val="24"/>
        </w:rPr>
        <w:t xml:space="preserve"> </w:t>
      </w:r>
      <w:r w:rsidR="0091605F">
        <w:rPr>
          <w:rFonts w:ascii="Times New Roman" w:hAnsi="Times New Roman" w:cs="Times New Roman"/>
          <w:sz w:val="24"/>
          <w:szCs w:val="24"/>
        </w:rPr>
        <w:t xml:space="preserve">и изменением цены на торгах, поскольку в отношении картеля как соглашения действует запрет </w:t>
      </w:r>
      <w:r w:rsidR="0091605F">
        <w:rPr>
          <w:rFonts w:ascii="Times New Roman" w:hAnsi="Times New Roman" w:cs="Times New Roman"/>
          <w:sz w:val="24"/>
          <w:szCs w:val="24"/>
          <w:lang w:val="en-US"/>
        </w:rPr>
        <w:t>per</w:t>
      </w:r>
      <w:r w:rsidR="0091605F" w:rsidRPr="0091605F">
        <w:rPr>
          <w:rFonts w:ascii="Times New Roman" w:hAnsi="Times New Roman" w:cs="Times New Roman"/>
          <w:sz w:val="24"/>
          <w:szCs w:val="24"/>
        </w:rPr>
        <w:t xml:space="preserve"> </w:t>
      </w:r>
      <w:r w:rsidR="0091605F">
        <w:rPr>
          <w:rFonts w:ascii="Times New Roman" w:hAnsi="Times New Roman" w:cs="Times New Roman"/>
          <w:sz w:val="24"/>
          <w:szCs w:val="24"/>
          <w:lang w:val="en-US"/>
        </w:rPr>
        <w:t>se</w:t>
      </w:r>
      <w:r w:rsidR="00D14118">
        <w:rPr>
          <w:rFonts w:ascii="Times New Roman" w:hAnsi="Times New Roman" w:cs="Times New Roman"/>
          <w:sz w:val="24"/>
          <w:szCs w:val="24"/>
        </w:rPr>
        <w:t>, т.е. безусловный запрет</w:t>
      </w:r>
      <w:r w:rsidR="00CD4341">
        <w:rPr>
          <w:rStyle w:val="a5"/>
          <w:rFonts w:ascii="Times New Roman" w:hAnsi="Times New Roman" w:cs="Times New Roman"/>
          <w:sz w:val="24"/>
          <w:szCs w:val="24"/>
        </w:rPr>
        <w:endnoteReference w:id="13"/>
      </w:r>
      <w:r w:rsidR="00D14118">
        <w:rPr>
          <w:rFonts w:ascii="Times New Roman" w:hAnsi="Times New Roman" w:cs="Times New Roman"/>
          <w:sz w:val="24"/>
          <w:szCs w:val="24"/>
        </w:rPr>
        <w:t>.</w:t>
      </w:r>
    </w:p>
    <w:p w:rsidR="00BE5F43" w:rsidRDefault="00866B03" w:rsidP="00866B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Борьба с картелями – одно из важнейших направлений деятельности антимонопольных органов России. 17 июня 2019 года Правительством РФ было принято Распоряжение №1314-р об утверждении </w:t>
      </w:r>
      <w:r w:rsidRPr="00866B03">
        <w:rPr>
          <w:rFonts w:ascii="Times New Roman" w:hAnsi="Times New Roman" w:cs="Times New Roman"/>
          <w:sz w:val="24"/>
          <w:szCs w:val="24"/>
        </w:rPr>
        <w:t>Межведомственн</w:t>
      </w:r>
      <w:r>
        <w:rPr>
          <w:rFonts w:ascii="Times New Roman" w:hAnsi="Times New Roman" w:cs="Times New Roman"/>
          <w:sz w:val="24"/>
          <w:szCs w:val="24"/>
        </w:rPr>
        <w:t>ой</w:t>
      </w:r>
      <w:r w:rsidRPr="00866B0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66B03">
        <w:rPr>
          <w:rFonts w:ascii="Times New Roman" w:hAnsi="Times New Roman" w:cs="Times New Roman"/>
          <w:sz w:val="24"/>
          <w:szCs w:val="24"/>
        </w:rPr>
        <w:t xml:space="preserve"> мер по выявлению и пресечению картелей и иных ограничивающих конкуренцию соглашений на 2019 - 2023 годы</w:t>
      </w:r>
      <w:r w:rsidR="000C59DC">
        <w:rPr>
          <w:rStyle w:val="a5"/>
          <w:rFonts w:ascii="Times New Roman" w:hAnsi="Times New Roman" w:cs="Times New Roman"/>
          <w:sz w:val="24"/>
          <w:szCs w:val="24"/>
        </w:rPr>
        <w:endnoteReference w:id="14"/>
      </w:r>
      <w:r w:rsidR="009D35A7">
        <w:rPr>
          <w:rFonts w:ascii="Times New Roman" w:hAnsi="Times New Roman" w:cs="Times New Roman"/>
          <w:sz w:val="24"/>
          <w:szCs w:val="24"/>
        </w:rPr>
        <w:t xml:space="preserve">. </w:t>
      </w:r>
      <w:r w:rsidR="00BB66D4">
        <w:rPr>
          <w:rFonts w:ascii="Times New Roman" w:hAnsi="Times New Roman" w:cs="Times New Roman"/>
          <w:sz w:val="24"/>
          <w:szCs w:val="24"/>
        </w:rPr>
        <w:t xml:space="preserve">Так, </w:t>
      </w:r>
      <w:r w:rsidR="009D35A7">
        <w:rPr>
          <w:rFonts w:ascii="Times New Roman" w:hAnsi="Times New Roman" w:cs="Times New Roman"/>
          <w:sz w:val="24"/>
          <w:szCs w:val="24"/>
        </w:rPr>
        <w:t xml:space="preserve">предлагается объединить усилия </w:t>
      </w:r>
      <w:r w:rsidR="00BB66D4">
        <w:rPr>
          <w:rFonts w:ascii="Times New Roman" w:hAnsi="Times New Roman" w:cs="Times New Roman"/>
          <w:sz w:val="24"/>
          <w:szCs w:val="24"/>
        </w:rPr>
        <w:t xml:space="preserve">антимонопольных и правоохранительных органов в целях </w:t>
      </w:r>
      <w:r w:rsidR="00BB66D4" w:rsidRPr="00BB66D4">
        <w:rPr>
          <w:rFonts w:ascii="Times New Roman" w:hAnsi="Times New Roman" w:cs="Times New Roman"/>
          <w:sz w:val="24"/>
          <w:szCs w:val="24"/>
        </w:rPr>
        <w:t>повышени</w:t>
      </w:r>
      <w:r w:rsidR="00BB66D4">
        <w:rPr>
          <w:rFonts w:ascii="Times New Roman" w:hAnsi="Times New Roman" w:cs="Times New Roman"/>
          <w:sz w:val="24"/>
          <w:szCs w:val="24"/>
        </w:rPr>
        <w:t xml:space="preserve">я </w:t>
      </w:r>
      <w:r w:rsidR="00BB66D4" w:rsidRPr="00BB66D4">
        <w:rPr>
          <w:rFonts w:ascii="Times New Roman" w:hAnsi="Times New Roman" w:cs="Times New Roman"/>
          <w:sz w:val="24"/>
          <w:szCs w:val="24"/>
        </w:rPr>
        <w:t xml:space="preserve">эффективности выявления и пресечения </w:t>
      </w:r>
      <w:proofErr w:type="spellStart"/>
      <w:r w:rsidR="00BB66D4" w:rsidRPr="00BB66D4">
        <w:rPr>
          <w:rFonts w:ascii="Times New Roman" w:hAnsi="Times New Roman" w:cs="Times New Roman"/>
          <w:sz w:val="24"/>
          <w:szCs w:val="24"/>
        </w:rPr>
        <w:t>антиконкурентных</w:t>
      </w:r>
      <w:proofErr w:type="spellEnd"/>
      <w:r w:rsidR="00BB66D4" w:rsidRPr="00BB66D4">
        <w:rPr>
          <w:rFonts w:ascii="Times New Roman" w:hAnsi="Times New Roman" w:cs="Times New Roman"/>
          <w:sz w:val="24"/>
          <w:szCs w:val="24"/>
        </w:rPr>
        <w:t xml:space="preserve"> соглашений</w:t>
      </w:r>
      <w:r w:rsidR="00BB66D4">
        <w:rPr>
          <w:rFonts w:ascii="Times New Roman" w:hAnsi="Times New Roman" w:cs="Times New Roman"/>
          <w:sz w:val="24"/>
          <w:szCs w:val="24"/>
        </w:rPr>
        <w:t>. Реализация программы предполагает внесение изменений в действующее антимонопольное законодательство в части наделения антимонопольных органов дополнительными полномочиями</w:t>
      </w:r>
      <w:r w:rsidR="00155E69">
        <w:rPr>
          <w:rFonts w:ascii="Times New Roman" w:hAnsi="Times New Roman" w:cs="Times New Roman"/>
          <w:sz w:val="24"/>
          <w:szCs w:val="24"/>
        </w:rPr>
        <w:t>.</w:t>
      </w:r>
    </w:p>
    <w:p w:rsidR="00866B03" w:rsidRDefault="00155E69" w:rsidP="00866B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Так, предлагается закрепить</w:t>
      </w:r>
      <w:r w:rsidR="00BB66D4">
        <w:rPr>
          <w:rFonts w:ascii="Times New Roman" w:hAnsi="Times New Roman" w:cs="Times New Roman"/>
          <w:sz w:val="24"/>
          <w:szCs w:val="24"/>
        </w:rPr>
        <w:t xml:space="preserve"> право</w:t>
      </w:r>
      <w:r>
        <w:rPr>
          <w:rFonts w:ascii="Times New Roman" w:hAnsi="Times New Roman" w:cs="Times New Roman"/>
          <w:sz w:val="24"/>
          <w:szCs w:val="24"/>
        </w:rPr>
        <w:t xml:space="preserve"> антимонопольного органа</w:t>
      </w:r>
      <w:r w:rsidR="00BB66D4">
        <w:rPr>
          <w:rFonts w:ascii="Times New Roman" w:hAnsi="Times New Roman" w:cs="Times New Roman"/>
          <w:sz w:val="24"/>
          <w:szCs w:val="24"/>
        </w:rPr>
        <w:t xml:space="preserve"> получ</w:t>
      </w:r>
      <w:r>
        <w:rPr>
          <w:rFonts w:ascii="Times New Roman" w:hAnsi="Times New Roman" w:cs="Times New Roman"/>
          <w:sz w:val="24"/>
          <w:szCs w:val="24"/>
        </w:rPr>
        <w:t>ать</w:t>
      </w:r>
      <w:r w:rsidR="00BB66D4">
        <w:rPr>
          <w:rFonts w:ascii="Times New Roman" w:hAnsi="Times New Roman" w:cs="Times New Roman"/>
          <w:sz w:val="24"/>
          <w:szCs w:val="24"/>
        </w:rPr>
        <w:t xml:space="preserve"> результат</w:t>
      </w:r>
      <w:r>
        <w:rPr>
          <w:rFonts w:ascii="Times New Roman" w:hAnsi="Times New Roman" w:cs="Times New Roman"/>
          <w:sz w:val="24"/>
          <w:szCs w:val="24"/>
        </w:rPr>
        <w:t>ы</w:t>
      </w:r>
      <w:r w:rsidR="00BB66D4">
        <w:rPr>
          <w:rFonts w:ascii="Times New Roman" w:hAnsi="Times New Roman" w:cs="Times New Roman"/>
          <w:sz w:val="24"/>
          <w:szCs w:val="24"/>
        </w:rPr>
        <w:t xml:space="preserve"> оперативно-розыскных </w:t>
      </w:r>
      <w:r>
        <w:rPr>
          <w:rFonts w:ascii="Times New Roman" w:hAnsi="Times New Roman" w:cs="Times New Roman"/>
          <w:sz w:val="24"/>
          <w:szCs w:val="24"/>
        </w:rPr>
        <w:t xml:space="preserve">мероприятий (далее – ОРМ) непосредственно от органов, осуществляющих оперативно-розыскную деятельность </w:t>
      </w:r>
      <w:r w:rsidRPr="00155E69">
        <w:rPr>
          <w:rFonts w:ascii="Times New Roman" w:hAnsi="Times New Roman" w:cs="Times New Roman"/>
          <w:sz w:val="24"/>
          <w:szCs w:val="24"/>
        </w:rPr>
        <w:t>(далее – ОРД)</w:t>
      </w:r>
      <w:r>
        <w:rPr>
          <w:rFonts w:ascii="Times New Roman" w:hAnsi="Times New Roman" w:cs="Times New Roman"/>
          <w:sz w:val="24"/>
          <w:szCs w:val="24"/>
        </w:rPr>
        <w:t>, по делам об уголовно-наказуемых картелях (в настоящее время материалы ОРМ передаются в следственные органы, которые возбуждают уголовное дело, а затем передают материалы в антимонопольные органы для возбуждения дела о нарушении антимонопольного законодательства). Такой действующий в настоящее время механизм не вполне оправдан, поскольку зачастую следственный орган не может возбудить уголовное дело без решения антимонопольного органа о наличии картеля</w:t>
      </w:r>
      <w:r w:rsidR="00BE5F43">
        <w:rPr>
          <w:rFonts w:ascii="Times New Roman" w:hAnsi="Times New Roman" w:cs="Times New Roman"/>
          <w:sz w:val="24"/>
          <w:szCs w:val="24"/>
        </w:rPr>
        <w:t xml:space="preserve"> (это связано с недостаточной компетентностью должностных лиц соответствующих правоохранительных органов в области антимонопольного регулирования).</w:t>
      </w:r>
    </w:p>
    <w:p w:rsidR="00BE5F43" w:rsidRDefault="00BE5F43" w:rsidP="00866B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законопроектом предусматривается возможность изъятия антимонопольным органом вещей и документов, имеющих доказательственное значение по делам о картелях, уже на стадии антимонопольного расследования в рамках ФЗ «О защите </w:t>
      </w:r>
      <w:r>
        <w:rPr>
          <w:rFonts w:ascii="Times New Roman" w:hAnsi="Times New Roman" w:cs="Times New Roman"/>
          <w:sz w:val="24"/>
          <w:szCs w:val="24"/>
        </w:rPr>
        <w:lastRenderedPageBreak/>
        <w:t>конкуренции», а не только на стадии возбуждения дела об административном правонарушении, право на которое в настоящее время предусмотрено ст.27.10 КоАП РФ</w:t>
      </w:r>
      <w:r w:rsidR="00C0523E">
        <w:rPr>
          <w:rStyle w:val="a5"/>
          <w:rFonts w:ascii="Times New Roman" w:hAnsi="Times New Roman" w:cs="Times New Roman"/>
          <w:sz w:val="24"/>
          <w:szCs w:val="24"/>
        </w:rPr>
        <w:endnoteReference w:id="15"/>
      </w:r>
      <w:r w:rsidR="004848DC">
        <w:rPr>
          <w:rFonts w:ascii="Times New Roman" w:hAnsi="Times New Roman" w:cs="Times New Roman"/>
          <w:sz w:val="24"/>
          <w:szCs w:val="24"/>
        </w:rPr>
        <w:t xml:space="preserve">. Наделение антимонопольного органа таким полномочием обусловлено спецификой привлечения хозяйствующих субъектов к административной ответственности по делу о нарушении антимонопольного законодательства, заключающейся в том, что после проведения проверки возбуждается дело о нарушении антимонопольного законодательства в рамках ФЗ «О защите конкуренции», и только потом, в случае подтверждения нарушения в решении антимонопольного органа, возбуждается дело об административном правонарушении по КоАП РФ. Таким образом, для привлечения к административной ответственности за антимонопольные нарушения необходимо наличие </w:t>
      </w:r>
      <w:r w:rsidR="00833F32">
        <w:rPr>
          <w:rFonts w:ascii="Times New Roman" w:hAnsi="Times New Roman" w:cs="Times New Roman"/>
          <w:sz w:val="24"/>
          <w:szCs w:val="24"/>
        </w:rPr>
        <w:t>решения антимонопольного органа, имеющего преюдициальное значение. Предоставление полномочия по изъятию предметов и документов на стадии антимонопольного расследования позволит антимонопольному органу оперативно пресечь противоправную деятельность и сформировать доказательственную базу, ведь к моменту возбуждения дела об административном правонарушении данных предметов и документов может уже и не быть</w:t>
      </w:r>
      <w:r w:rsidR="000C59DC">
        <w:rPr>
          <w:rStyle w:val="a5"/>
          <w:rFonts w:ascii="Times New Roman" w:hAnsi="Times New Roman" w:cs="Times New Roman"/>
          <w:sz w:val="24"/>
          <w:szCs w:val="24"/>
        </w:rPr>
        <w:endnoteReference w:id="16"/>
      </w:r>
      <w:r w:rsidR="00833F32">
        <w:rPr>
          <w:rFonts w:ascii="Times New Roman" w:hAnsi="Times New Roman" w:cs="Times New Roman"/>
          <w:sz w:val="24"/>
          <w:szCs w:val="24"/>
        </w:rPr>
        <w:t>.</w:t>
      </w:r>
    </w:p>
    <w:p w:rsidR="0025707E" w:rsidRDefault="0025707E" w:rsidP="002570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выявления и пресечения картелей может быть достигнуто и при помощи </w:t>
      </w:r>
      <w:r w:rsidR="001D4C53">
        <w:rPr>
          <w:rFonts w:ascii="Times New Roman" w:hAnsi="Times New Roman" w:cs="Times New Roman"/>
          <w:sz w:val="24"/>
          <w:szCs w:val="24"/>
        </w:rPr>
        <w:t xml:space="preserve">использования </w:t>
      </w:r>
      <w:r>
        <w:rPr>
          <w:rFonts w:ascii="Times New Roman" w:hAnsi="Times New Roman" w:cs="Times New Roman"/>
          <w:sz w:val="24"/>
          <w:szCs w:val="24"/>
        </w:rPr>
        <w:t xml:space="preserve">цифровых технологий. Так, реализация Программы предполагает разработку и внедрение </w:t>
      </w:r>
      <w:r w:rsidR="001D4C53">
        <w:rPr>
          <w:rFonts w:ascii="Times New Roman" w:hAnsi="Times New Roman" w:cs="Times New Roman"/>
          <w:sz w:val="24"/>
          <w:szCs w:val="24"/>
        </w:rPr>
        <w:t xml:space="preserve">скринингового сервиса - </w:t>
      </w:r>
      <w:r>
        <w:rPr>
          <w:rFonts w:ascii="Times New Roman" w:hAnsi="Times New Roman" w:cs="Times New Roman"/>
          <w:sz w:val="24"/>
          <w:szCs w:val="24"/>
        </w:rPr>
        <w:t>автоматизированной информационной системы «</w:t>
      </w:r>
      <w:proofErr w:type="spellStart"/>
      <w:r>
        <w:rPr>
          <w:rFonts w:ascii="Times New Roman" w:hAnsi="Times New Roman" w:cs="Times New Roman"/>
          <w:sz w:val="24"/>
          <w:szCs w:val="24"/>
        </w:rPr>
        <w:t>АнтиКартель</w:t>
      </w:r>
      <w:proofErr w:type="spellEnd"/>
      <w:r>
        <w:rPr>
          <w:rFonts w:ascii="Times New Roman" w:hAnsi="Times New Roman" w:cs="Times New Roman"/>
          <w:sz w:val="24"/>
          <w:szCs w:val="24"/>
        </w:rPr>
        <w:t>», которая бы позволила</w:t>
      </w:r>
      <w:r w:rsidRPr="0025707E">
        <w:rPr>
          <w:rFonts w:ascii="Times New Roman" w:hAnsi="Times New Roman" w:cs="Times New Roman"/>
          <w:sz w:val="24"/>
          <w:szCs w:val="24"/>
        </w:rPr>
        <w:t xml:space="preserve"> в ре</w:t>
      </w:r>
      <w:r>
        <w:rPr>
          <w:rFonts w:ascii="Times New Roman" w:hAnsi="Times New Roman" w:cs="Times New Roman"/>
          <w:sz w:val="24"/>
          <w:szCs w:val="24"/>
        </w:rPr>
        <w:t>жиме</w:t>
      </w:r>
      <w:r w:rsidRPr="0025707E">
        <w:rPr>
          <w:rFonts w:ascii="Times New Roman" w:hAnsi="Times New Roman" w:cs="Times New Roman"/>
          <w:sz w:val="24"/>
          <w:szCs w:val="24"/>
        </w:rPr>
        <w:t xml:space="preserve"> онлайн выявлять признаки </w:t>
      </w:r>
      <w:r>
        <w:rPr>
          <w:rFonts w:ascii="Times New Roman" w:hAnsi="Times New Roman" w:cs="Times New Roman"/>
          <w:sz w:val="24"/>
          <w:szCs w:val="24"/>
        </w:rPr>
        <w:t>картельных</w:t>
      </w:r>
      <w:r w:rsidRPr="0025707E">
        <w:rPr>
          <w:rFonts w:ascii="Times New Roman" w:hAnsi="Times New Roman" w:cs="Times New Roman"/>
          <w:sz w:val="24"/>
          <w:szCs w:val="24"/>
        </w:rPr>
        <w:t xml:space="preserve"> соглашений на торгах и формировать доказательственную базу, подтверждающую</w:t>
      </w:r>
      <w:r w:rsidR="001D4C53">
        <w:rPr>
          <w:rFonts w:ascii="Times New Roman" w:hAnsi="Times New Roman" w:cs="Times New Roman"/>
          <w:sz w:val="24"/>
          <w:szCs w:val="24"/>
        </w:rPr>
        <w:t xml:space="preserve"> их</w:t>
      </w:r>
      <w:r w:rsidRPr="0025707E">
        <w:rPr>
          <w:rFonts w:ascii="Times New Roman" w:hAnsi="Times New Roman" w:cs="Times New Roman"/>
          <w:sz w:val="24"/>
          <w:szCs w:val="24"/>
        </w:rPr>
        <w:t xml:space="preserve"> заключение и реализацию, с использованием как открытых, так и закрытых источников информации</w:t>
      </w:r>
      <w:r w:rsidR="001D4C53">
        <w:rPr>
          <w:rFonts w:ascii="Times New Roman" w:hAnsi="Times New Roman" w:cs="Times New Roman"/>
          <w:sz w:val="24"/>
          <w:szCs w:val="24"/>
        </w:rPr>
        <w:t xml:space="preserve"> (ЕИС, данные ФНС, социальные сети и т.п.</w:t>
      </w:r>
      <w:r w:rsidRPr="0025707E">
        <w:rPr>
          <w:rFonts w:ascii="Times New Roman" w:hAnsi="Times New Roman" w:cs="Times New Roman"/>
          <w:sz w:val="24"/>
          <w:szCs w:val="24"/>
        </w:rPr>
        <w:t>.</w:t>
      </w:r>
      <w:r w:rsidR="001D4C53">
        <w:rPr>
          <w:rFonts w:ascii="Times New Roman" w:hAnsi="Times New Roman" w:cs="Times New Roman"/>
          <w:sz w:val="24"/>
          <w:szCs w:val="24"/>
        </w:rPr>
        <w:t>)</w:t>
      </w:r>
      <w:r w:rsidR="000C59DC">
        <w:rPr>
          <w:rStyle w:val="a5"/>
          <w:rFonts w:ascii="Times New Roman" w:hAnsi="Times New Roman" w:cs="Times New Roman"/>
          <w:sz w:val="24"/>
          <w:szCs w:val="24"/>
        </w:rPr>
        <w:endnoteReference w:id="17"/>
      </w:r>
      <w:r w:rsidR="001D4C53">
        <w:rPr>
          <w:rFonts w:ascii="Times New Roman" w:hAnsi="Times New Roman" w:cs="Times New Roman"/>
          <w:sz w:val="24"/>
          <w:szCs w:val="24"/>
        </w:rPr>
        <w:t>.</w:t>
      </w:r>
      <w:r w:rsidRPr="0025707E">
        <w:rPr>
          <w:rFonts w:ascii="Times New Roman" w:hAnsi="Times New Roman" w:cs="Times New Roman"/>
          <w:sz w:val="24"/>
          <w:szCs w:val="24"/>
        </w:rPr>
        <w:t xml:space="preserve"> В настоящее первый модуль указанной системы</w:t>
      </w:r>
      <w:r w:rsidR="001D4C53">
        <w:rPr>
          <w:rFonts w:ascii="Times New Roman" w:hAnsi="Times New Roman" w:cs="Times New Roman"/>
          <w:sz w:val="24"/>
          <w:szCs w:val="24"/>
        </w:rPr>
        <w:t>, анализирующий открытые</w:t>
      </w:r>
      <w:r w:rsidR="001D4C53" w:rsidRPr="001D4C53">
        <w:rPr>
          <w:rFonts w:ascii="Times New Roman" w:hAnsi="Times New Roman" w:cs="Times New Roman"/>
          <w:sz w:val="24"/>
          <w:szCs w:val="24"/>
        </w:rPr>
        <w:t xml:space="preserve"> </w:t>
      </w:r>
      <w:r w:rsidR="001D4C53">
        <w:rPr>
          <w:rFonts w:ascii="Times New Roman" w:hAnsi="Times New Roman" w:cs="Times New Roman"/>
          <w:sz w:val="24"/>
          <w:szCs w:val="24"/>
          <w:lang w:val="en-US"/>
        </w:rPr>
        <w:t>Big</w:t>
      </w:r>
      <w:r w:rsidR="001D4C53" w:rsidRPr="001D4C53">
        <w:rPr>
          <w:rFonts w:ascii="Times New Roman" w:hAnsi="Times New Roman" w:cs="Times New Roman"/>
          <w:sz w:val="24"/>
          <w:szCs w:val="24"/>
        </w:rPr>
        <w:t xml:space="preserve"> </w:t>
      </w:r>
      <w:r w:rsidR="001D4C53">
        <w:rPr>
          <w:rFonts w:ascii="Times New Roman" w:hAnsi="Times New Roman" w:cs="Times New Roman"/>
          <w:sz w:val="24"/>
          <w:szCs w:val="24"/>
          <w:lang w:val="en-US"/>
        </w:rPr>
        <w:t>Data</w:t>
      </w:r>
      <w:r w:rsidR="001D4C53" w:rsidRPr="001D4C53">
        <w:rPr>
          <w:rFonts w:ascii="Times New Roman" w:hAnsi="Times New Roman" w:cs="Times New Roman"/>
          <w:sz w:val="24"/>
          <w:szCs w:val="24"/>
        </w:rPr>
        <w:t>,</w:t>
      </w:r>
      <w:r w:rsidR="001D4C53">
        <w:rPr>
          <w:rFonts w:ascii="Times New Roman" w:hAnsi="Times New Roman" w:cs="Times New Roman"/>
          <w:sz w:val="24"/>
          <w:szCs w:val="24"/>
        </w:rPr>
        <w:t xml:space="preserve"> </w:t>
      </w:r>
      <w:r w:rsidRPr="0025707E">
        <w:rPr>
          <w:rFonts w:ascii="Times New Roman" w:hAnsi="Times New Roman" w:cs="Times New Roman"/>
          <w:sz w:val="24"/>
          <w:szCs w:val="24"/>
        </w:rPr>
        <w:t xml:space="preserve">уже внедрен в работу </w:t>
      </w:r>
      <w:r w:rsidR="001D4C53">
        <w:rPr>
          <w:rFonts w:ascii="Times New Roman" w:hAnsi="Times New Roman" w:cs="Times New Roman"/>
          <w:sz w:val="24"/>
          <w:szCs w:val="24"/>
        </w:rPr>
        <w:t>ФАС.</w:t>
      </w:r>
    </w:p>
    <w:p w:rsidR="00A278BB" w:rsidRDefault="00A278BB" w:rsidP="002570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8E7276">
        <w:rPr>
          <w:rFonts w:ascii="Times New Roman" w:hAnsi="Times New Roman" w:cs="Times New Roman"/>
          <w:sz w:val="24"/>
          <w:szCs w:val="24"/>
        </w:rPr>
        <w:t>достижениями</w:t>
      </w:r>
      <w:r>
        <w:rPr>
          <w:rFonts w:ascii="Times New Roman" w:hAnsi="Times New Roman" w:cs="Times New Roman"/>
          <w:sz w:val="24"/>
          <w:szCs w:val="24"/>
        </w:rPr>
        <w:t xml:space="preserve"> процесса цифровизации</w:t>
      </w:r>
      <w:r w:rsidR="008E7276">
        <w:rPr>
          <w:rFonts w:ascii="Times New Roman" w:hAnsi="Times New Roman" w:cs="Times New Roman"/>
          <w:sz w:val="24"/>
          <w:szCs w:val="24"/>
        </w:rPr>
        <w:t xml:space="preserve"> пользуются и участники </w:t>
      </w:r>
      <w:proofErr w:type="spellStart"/>
      <w:r w:rsidR="008E7276">
        <w:rPr>
          <w:rFonts w:ascii="Times New Roman" w:hAnsi="Times New Roman" w:cs="Times New Roman"/>
          <w:sz w:val="24"/>
          <w:szCs w:val="24"/>
        </w:rPr>
        <w:t>антиконкурентных</w:t>
      </w:r>
      <w:proofErr w:type="spellEnd"/>
      <w:r w:rsidR="008E7276">
        <w:rPr>
          <w:rFonts w:ascii="Times New Roman" w:hAnsi="Times New Roman" w:cs="Times New Roman"/>
          <w:sz w:val="24"/>
          <w:szCs w:val="24"/>
        </w:rPr>
        <w:t xml:space="preserve"> соглашений. В последние годы в практике участились случаи недобросовестного применения аукционных роботов (</w:t>
      </w:r>
      <w:proofErr w:type="spellStart"/>
      <w:r w:rsidR="008E7276">
        <w:rPr>
          <w:rFonts w:ascii="Times New Roman" w:hAnsi="Times New Roman" w:cs="Times New Roman"/>
          <w:sz w:val="24"/>
          <w:szCs w:val="24"/>
        </w:rPr>
        <w:t>автоторгов</w:t>
      </w:r>
      <w:proofErr w:type="spellEnd"/>
      <w:r w:rsidR="008E7276">
        <w:rPr>
          <w:rFonts w:ascii="Times New Roman" w:hAnsi="Times New Roman" w:cs="Times New Roman"/>
          <w:sz w:val="24"/>
          <w:szCs w:val="24"/>
        </w:rPr>
        <w:t xml:space="preserve">) – программное обеспечение, позволяющее участвовать в торгах в автоматическом режиме. </w:t>
      </w:r>
      <w:r w:rsidR="000036EC">
        <w:rPr>
          <w:rFonts w:ascii="Times New Roman" w:hAnsi="Times New Roman" w:cs="Times New Roman"/>
          <w:sz w:val="24"/>
          <w:szCs w:val="24"/>
        </w:rPr>
        <w:t>И</w:t>
      </w:r>
      <w:r w:rsidR="008E7276">
        <w:rPr>
          <w:rFonts w:ascii="Times New Roman" w:hAnsi="Times New Roman" w:cs="Times New Roman"/>
          <w:sz w:val="24"/>
          <w:szCs w:val="24"/>
        </w:rPr>
        <w:t>спользование таких программ</w:t>
      </w:r>
      <w:r w:rsidR="0092793F">
        <w:rPr>
          <w:rFonts w:ascii="Times New Roman" w:hAnsi="Times New Roman" w:cs="Times New Roman"/>
          <w:sz w:val="24"/>
          <w:szCs w:val="24"/>
        </w:rPr>
        <w:t xml:space="preserve"> </w:t>
      </w:r>
      <w:r w:rsidR="008E7276">
        <w:rPr>
          <w:rFonts w:ascii="Times New Roman" w:hAnsi="Times New Roman" w:cs="Times New Roman"/>
          <w:sz w:val="24"/>
          <w:szCs w:val="24"/>
        </w:rPr>
        <w:t xml:space="preserve">в целях </w:t>
      </w:r>
      <w:r w:rsidR="000036EC">
        <w:rPr>
          <w:rFonts w:ascii="Times New Roman" w:hAnsi="Times New Roman" w:cs="Times New Roman"/>
          <w:sz w:val="24"/>
          <w:szCs w:val="24"/>
        </w:rPr>
        <w:t xml:space="preserve">добросовестного </w:t>
      </w:r>
      <w:r w:rsidR="008E7276">
        <w:rPr>
          <w:rFonts w:ascii="Times New Roman" w:hAnsi="Times New Roman" w:cs="Times New Roman"/>
          <w:sz w:val="24"/>
          <w:szCs w:val="24"/>
        </w:rPr>
        <w:t>участия в торгах при невозможности присутствия на них во время их проведения</w:t>
      </w:r>
      <w:r w:rsidR="000036EC">
        <w:rPr>
          <w:rFonts w:ascii="Times New Roman" w:hAnsi="Times New Roman" w:cs="Times New Roman"/>
          <w:sz w:val="24"/>
          <w:szCs w:val="24"/>
        </w:rPr>
        <w:t xml:space="preserve"> является абсолютно легальным. В некоторые электронные площадки такие роботы изначально встроены (</w:t>
      </w:r>
      <w:r w:rsidR="000036EC" w:rsidRPr="000036EC">
        <w:rPr>
          <w:rFonts w:ascii="Times New Roman" w:hAnsi="Times New Roman" w:cs="Times New Roman"/>
          <w:sz w:val="24"/>
          <w:szCs w:val="24"/>
        </w:rPr>
        <w:t>Сбербанк-АСТ и РТС-тендер</w:t>
      </w:r>
      <w:r w:rsidR="000036EC">
        <w:rPr>
          <w:rFonts w:ascii="Times New Roman" w:hAnsi="Times New Roman" w:cs="Times New Roman"/>
          <w:sz w:val="24"/>
          <w:szCs w:val="24"/>
        </w:rPr>
        <w:t>), в остальных же случаях участники имеют право устанавливать соответствующие приложения, которые можно платно скачать в публичном доступе (</w:t>
      </w:r>
      <w:proofErr w:type="spellStart"/>
      <w:r w:rsidR="000036EC">
        <w:rPr>
          <w:rFonts w:ascii="Times New Roman" w:hAnsi="Times New Roman" w:cs="Times New Roman"/>
          <w:sz w:val="24"/>
          <w:szCs w:val="24"/>
          <w:lang w:val="en-US"/>
        </w:rPr>
        <w:t>AuSe</w:t>
      </w:r>
      <w:proofErr w:type="spellEnd"/>
      <w:r w:rsidR="000036EC" w:rsidRPr="000036EC">
        <w:rPr>
          <w:rFonts w:ascii="Times New Roman" w:hAnsi="Times New Roman" w:cs="Times New Roman"/>
          <w:sz w:val="24"/>
          <w:szCs w:val="24"/>
        </w:rPr>
        <w:t xml:space="preserve">, </w:t>
      </w:r>
      <w:r w:rsidR="000036EC">
        <w:rPr>
          <w:rFonts w:ascii="Times New Roman" w:hAnsi="Times New Roman" w:cs="Times New Roman"/>
          <w:sz w:val="24"/>
          <w:szCs w:val="24"/>
          <w:lang w:val="en-US"/>
        </w:rPr>
        <w:t>WIN</w:t>
      </w:r>
      <w:r w:rsidR="000036EC" w:rsidRPr="000036EC">
        <w:rPr>
          <w:rFonts w:ascii="Times New Roman" w:hAnsi="Times New Roman" w:cs="Times New Roman"/>
          <w:sz w:val="24"/>
          <w:szCs w:val="24"/>
        </w:rPr>
        <w:t>-</w:t>
      </w:r>
      <w:r w:rsidR="000036EC">
        <w:rPr>
          <w:rFonts w:ascii="Times New Roman" w:hAnsi="Times New Roman" w:cs="Times New Roman"/>
          <w:sz w:val="24"/>
          <w:szCs w:val="24"/>
          <w:lang w:val="en-US"/>
        </w:rPr>
        <w:t>IT</w:t>
      </w:r>
      <w:r w:rsidR="000036EC" w:rsidRPr="000036EC">
        <w:rPr>
          <w:rFonts w:ascii="Times New Roman" w:hAnsi="Times New Roman" w:cs="Times New Roman"/>
          <w:sz w:val="24"/>
          <w:szCs w:val="24"/>
        </w:rPr>
        <w:t xml:space="preserve"> </w:t>
      </w:r>
      <w:r w:rsidR="000036EC">
        <w:rPr>
          <w:rFonts w:ascii="Times New Roman" w:hAnsi="Times New Roman" w:cs="Times New Roman"/>
          <w:sz w:val="24"/>
          <w:szCs w:val="24"/>
        </w:rPr>
        <w:t>и т.п.)</w:t>
      </w:r>
      <w:r w:rsidR="0092793F">
        <w:rPr>
          <w:rFonts w:ascii="Times New Roman" w:hAnsi="Times New Roman" w:cs="Times New Roman"/>
          <w:sz w:val="24"/>
          <w:szCs w:val="24"/>
        </w:rPr>
        <w:t xml:space="preserve">. Если же аукционные роботы используются исключительно с целью реализации </w:t>
      </w:r>
      <w:proofErr w:type="spellStart"/>
      <w:r w:rsidR="0092793F">
        <w:rPr>
          <w:rFonts w:ascii="Times New Roman" w:hAnsi="Times New Roman" w:cs="Times New Roman"/>
          <w:sz w:val="24"/>
          <w:szCs w:val="24"/>
        </w:rPr>
        <w:t>антиконкурентного</w:t>
      </w:r>
      <w:proofErr w:type="spellEnd"/>
      <w:r w:rsidR="0092793F">
        <w:rPr>
          <w:rFonts w:ascii="Times New Roman" w:hAnsi="Times New Roman" w:cs="Times New Roman"/>
          <w:sz w:val="24"/>
          <w:szCs w:val="24"/>
        </w:rPr>
        <w:t xml:space="preserve"> соглашения, </w:t>
      </w:r>
      <w:r w:rsidR="0092793F">
        <w:rPr>
          <w:rFonts w:ascii="Times New Roman" w:hAnsi="Times New Roman" w:cs="Times New Roman"/>
          <w:sz w:val="24"/>
          <w:szCs w:val="24"/>
        </w:rPr>
        <w:lastRenderedPageBreak/>
        <w:t>как это имело место на аукционе по реализации имущества банкрота 14 декабря 2018 года</w:t>
      </w:r>
      <w:r w:rsidR="000C59DC">
        <w:rPr>
          <w:rStyle w:val="a5"/>
          <w:rFonts w:ascii="Times New Roman" w:hAnsi="Times New Roman" w:cs="Times New Roman"/>
          <w:sz w:val="24"/>
          <w:szCs w:val="24"/>
        </w:rPr>
        <w:endnoteReference w:id="18"/>
      </w:r>
      <w:r w:rsidR="0092793F">
        <w:rPr>
          <w:rFonts w:ascii="Times New Roman" w:hAnsi="Times New Roman" w:cs="Times New Roman"/>
          <w:sz w:val="24"/>
          <w:szCs w:val="24"/>
        </w:rPr>
        <w:t>, такое использование нельзя считать добросовестным.</w:t>
      </w:r>
    </w:p>
    <w:p w:rsidR="0092793F" w:rsidRDefault="0092793F" w:rsidP="002570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 хотелось бы отметить, что любой картель независимо от</w:t>
      </w:r>
      <w:r w:rsidR="006E7562">
        <w:rPr>
          <w:rFonts w:ascii="Times New Roman" w:hAnsi="Times New Roman" w:cs="Times New Roman"/>
          <w:sz w:val="24"/>
          <w:szCs w:val="24"/>
        </w:rPr>
        <w:t xml:space="preserve"> сферы его реализации, - зло для экономики, ведь последствия его создания угрожают конкуренции как одном из важнейших признаков, выражающих саму сущность рынка. Хочется верить, что Программа, о которой шла речь в настоящей статье, будет постепенно реализовываться, цели, поставленные ею, - достигаться, и к концу 2023 года количество </w:t>
      </w:r>
      <w:proofErr w:type="spellStart"/>
      <w:r w:rsidR="006E7562">
        <w:rPr>
          <w:rFonts w:ascii="Times New Roman" w:hAnsi="Times New Roman" w:cs="Times New Roman"/>
          <w:sz w:val="24"/>
          <w:szCs w:val="24"/>
        </w:rPr>
        <w:t>антиконкурентных</w:t>
      </w:r>
      <w:proofErr w:type="spellEnd"/>
      <w:r w:rsidR="006E7562">
        <w:rPr>
          <w:rFonts w:ascii="Times New Roman" w:hAnsi="Times New Roman" w:cs="Times New Roman"/>
          <w:sz w:val="24"/>
          <w:szCs w:val="24"/>
        </w:rPr>
        <w:t xml:space="preserve"> соглашений значительно сократится.</w:t>
      </w:r>
    </w:p>
    <w:p w:rsidR="00163C16" w:rsidRPr="00C75BAC" w:rsidRDefault="00163C16" w:rsidP="0025707E">
      <w:pPr>
        <w:spacing w:after="0" w:line="360" w:lineRule="auto"/>
        <w:ind w:firstLine="709"/>
        <w:jc w:val="both"/>
        <w:rPr>
          <w:rFonts w:ascii="Times New Roman" w:hAnsi="Times New Roman" w:cs="Times New Roman"/>
          <w:sz w:val="24"/>
          <w:szCs w:val="24"/>
        </w:rPr>
      </w:pPr>
    </w:p>
    <w:p w:rsidR="00163C16" w:rsidRDefault="00163C16" w:rsidP="0025707E">
      <w:pPr>
        <w:spacing w:after="0" w:line="360" w:lineRule="auto"/>
        <w:ind w:firstLine="709"/>
        <w:jc w:val="both"/>
        <w:rPr>
          <w:rFonts w:ascii="Times New Roman" w:hAnsi="Times New Roman" w:cs="Times New Roman"/>
          <w:b/>
          <w:sz w:val="24"/>
          <w:szCs w:val="24"/>
        </w:rPr>
      </w:pPr>
      <w:r w:rsidRPr="00163C16">
        <w:rPr>
          <w:rFonts w:ascii="Times New Roman" w:hAnsi="Times New Roman" w:cs="Times New Roman"/>
          <w:b/>
          <w:sz w:val="24"/>
          <w:szCs w:val="24"/>
        </w:rPr>
        <w:t>Список использованной литературы</w:t>
      </w:r>
      <w:r w:rsidR="00657A0A">
        <w:rPr>
          <w:rFonts w:ascii="Times New Roman" w:hAnsi="Times New Roman" w:cs="Times New Roman"/>
          <w:b/>
          <w:sz w:val="24"/>
          <w:szCs w:val="24"/>
        </w:rPr>
        <w:t xml:space="preserve"> (включая нормативные правовые акты, правоприменительную практику и Интернет-ресурсы)</w:t>
      </w:r>
      <w:r w:rsidRPr="00163C16">
        <w:rPr>
          <w:rFonts w:ascii="Times New Roman" w:hAnsi="Times New Roman" w:cs="Times New Roman"/>
          <w:b/>
          <w:sz w:val="24"/>
          <w:szCs w:val="24"/>
        </w:rPr>
        <w:t>:</w:t>
      </w:r>
    </w:p>
    <w:p w:rsidR="0025707E" w:rsidRDefault="00163C16" w:rsidP="002E00FD">
      <w:pPr>
        <w:pStyle w:val="a8"/>
        <w:numPr>
          <w:ilvl w:val="0"/>
          <w:numId w:val="2"/>
        </w:numPr>
        <w:spacing w:after="0" w:line="360" w:lineRule="auto"/>
        <w:jc w:val="both"/>
        <w:rPr>
          <w:rFonts w:ascii="Times New Roman" w:hAnsi="Times New Roman" w:cs="Times New Roman"/>
          <w:sz w:val="24"/>
          <w:szCs w:val="24"/>
        </w:rPr>
      </w:pPr>
      <w:r w:rsidRPr="00163C16">
        <w:rPr>
          <w:rFonts w:ascii="Times New Roman" w:hAnsi="Times New Roman" w:cs="Times New Roman"/>
          <w:sz w:val="24"/>
          <w:szCs w:val="24"/>
        </w:rPr>
        <w:t xml:space="preserve">Егорова М.А., </w:t>
      </w:r>
      <w:proofErr w:type="spellStart"/>
      <w:r w:rsidRPr="00163C16">
        <w:rPr>
          <w:rFonts w:ascii="Times New Roman" w:hAnsi="Times New Roman" w:cs="Times New Roman"/>
          <w:sz w:val="24"/>
          <w:szCs w:val="24"/>
        </w:rPr>
        <w:t>Кинев</w:t>
      </w:r>
      <w:proofErr w:type="spellEnd"/>
      <w:r w:rsidRPr="00163C16">
        <w:rPr>
          <w:rFonts w:ascii="Times New Roman" w:hAnsi="Times New Roman" w:cs="Times New Roman"/>
          <w:sz w:val="24"/>
          <w:szCs w:val="24"/>
        </w:rPr>
        <w:t xml:space="preserve"> А.Ю. Конкурентное право: Учебник. М.: </w:t>
      </w:r>
      <w:proofErr w:type="spellStart"/>
      <w:r w:rsidRPr="00163C16">
        <w:rPr>
          <w:rFonts w:ascii="Times New Roman" w:hAnsi="Times New Roman" w:cs="Times New Roman"/>
          <w:sz w:val="24"/>
          <w:szCs w:val="24"/>
        </w:rPr>
        <w:t>Юстицинформ</w:t>
      </w:r>
      <w:proofErr w:type="spellEnd"/>
      <w:r w:rsidRPr="00163C16">
        <w:rPr>
          <w:rFonts w:ascii="Times New Roman" w:hAnsi="Times New Roman" w:cs="Times New Roman"/>
          <w:sz w:val="24"/>
          <w:szCs w:val="24"/>
        </w:rPr>
        <w:t>, 2018. 628 с.</w:t>
      </w:r>
    </w:p>
    <w:p w:rsidR="002E00FD" w:rsidRDefault="002E00FD" w:rsidP="002E00FD">
      <w:pPr>
        <w:pStyle w:val="a8"/>
        <w:numPr>
          <w:ilvl w:val="0"/>
          <w:numId w:val="2"/>
        </w:numPr>
        <w:spacing w:after="0" w:line="360" w:lineRule="auto"/>
        <w:jc w:val="both"/>
        <w:rPr>
          <w:rFonts w:ascii="Times New Roman" w:hAnsi="Times New Roman" w:cs="Times New Roman"/>
          <w:sz w:val="24"/>
          <w:szCs w:val="24"/>
        </w:rPr>
      </w:pPr>
      <w:r w:rsidRPr="002E00FD">
        <w:rPr>
          <w:rFonts w:ascii="Times New Roman" w:hAnsi="Times New Roman" w:cs="Times New Roman"/>
          <w:sz w:val="24"/>
          <w:szCs w:val="24"/>
        </w:rPr>
        <w:t>Филимонов А.А., Щерба Т.Э. Как идентифицировать картель: классификация картелей, основные признаки, примеры дел // СПС Консультант Плюс. 2018.</w:t>
      </w:r>
    </w:p>
    <w:p w:rsidR="002E00FD" w:rsidRPr="002E00FD" w:rsidRDefault="002E00FD" w:rsidP="002E00FD">
      <w:pPr>
        <w:pStyle w:val="a8"/>
        <w:numPr>
          <w:ilvl w:val="0"/>
          <w:numId w:val="2"/>
        </w:numPr>
        <w:jc w:val="both"/>
        <w:rPr>
          <w:rFonts w:ascii="Times New Roman" w:hAnsi="Times New Roman" w:cs="Times New Roman"/>
          <w:sz w:val="24"/>
          <w:szCs w:val="24"/>
        </w:rPr>
      </w:pPr>
      <w:r w:rsidRPr="002E00FD">
        <w:rPr>
          <w:rFonts w:ascii="Times New Roman" w:hAnsi="Times New Roman" w:cs="Times New Roman"/>
          <w:sz w:val="24"/>
          <w:szCs w:val="24"/>
        </w:rPr>
        <w:t xml:space="preserve">Федеральный закон "О защите конкуренции" от 26.07.2006 № 135-ФЗ // Российская газета. 2006 г. № 4128. с изм. и </w:t>
      </w:r>
      <w:proofErr w:type="spellStart"/>
      <w:r w:rsidRPr="002E00FD">
        <w:rPr>
          <w:rFonts w:ascii="Times New Roman" w:hAnsi="Times New Roman" w:cs="Times New Roman"/>
          <w:sz w:val="24"/>
          <w:szCs w:val="24"/>
        </w:rPr>
        <w:t>допол</w:t>
      </w:r>
      <w:proofErr w:type="spellEnd"/>
      <w:r w:rsidRPr="002E00FD">
        <w:rPr>
          <w:rFonts w:ascii="Times New Roman" w:hAnsi="Times New Roman" w:cs="Times New Roman"/>
          <w:sz w:val="24"/>
          <w:szCs w:val="24"/>
        </w:rPr>
        <w:t>. в ред. от 24.04.2020.</w:t>
      </w:r>
    </w:p>
    <w:p w:rsidR="002E00FD" w:rsidRDefault="00657A0A" w:rsidP="002E00FD">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Распоряжение Правительства РФ "Об утверждении Межведомственной программы мер по выявлению и пресечению картелей и иных ограничивающих конкуренцию соглашений на 2019 - 2023 годы" от 17.06.2019 № 1314-р // Российская газета. 2019 г.</w:t>
      </w:r>
    </w:p>
    <w:p w:rsidR="00657A0A" w:rsidRDefault="00657A0A" w:rsidP="002E00FD">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 xml:space="preserve">Протокол Президиума ФАС России "Разъяснение N 3 Президиума ФАС России "Доказывание недопустимых соглашений (в том числе картелей) и согласованных действий на товарных рынках, в том числе на торгах" " от 17.02.2016 № 3 // </w:t>
      </w:r>
      <w:r w:rsidR="00C0523E">
        <w:rPr>
          <w:rFonts w:ascii="Times New Roman" w:hAnsi="Times New Roman" w:cs="Times New Roman"/>
          <w:sz w:val="24"/>
          <w:szCs w:val="24"/>
        </w:rPr>
        <w:t>СПС КонсультантПлюс</w:t>
      </w:r>
    </w:p>
    <w:p w:rsidR="00657A0A" w:rsidRDefault="00657A0A" w:rsidP="002E00FD">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Постановление ФАС Московской области от 26.12.2013 N А40-94472/12-17-918</w:t>
      </w:r>
      <w:r w:rsidR="00C0523E">
        <w:rPr>
          <w:rFonts w:ascii="Times New Roman" w:hAnsi="Times New Roman" w:cs="Times New Roman"/>
          <w:sz w:val="24"/>
          <w:szCs w:val="24"/>
        </w:rPr>
        <w:t xml:space="preserve"> // СПС КонсультантПлюс</w:t>
      </w:r>
    </w:p>
    <w:p w:rsidR="00657A0A" w:rsidRPr="00657A0A" w:rsidRDefault="00657A0A" w:rsidP="00657A0A">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Постановление Арбитражного суда Северо-Западного округа от 23.04.2015 N А42-2564/2014</w:t>
      </w:r>
      <w:r w:rsidR="00C0523E">
        <w:rPr>
          <w:rFonts w:ascii="Times New Roman" w:hAnsi="Times New Roman" w:cs="Times New Roman"/>
          <w:sz w:val="24"/>
          <w:szCs w:val="24"/>
        </w:rPr>
        <w:t xml:space="preserve"> // СПС КонсультантПлюс</w:t>
      </w:r>
    </w:p>
    <w:p w:rsidR="00657A0A" w:rsidRPr="00657A0A" w:rsidRDefault="00657A0A" w:rsidP="00657A0A">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 xml:space="preserve"> Решение ФАС России по делу N 1 11/158-10 от 06.07.2011</w:t>
      </w:r>
      <w:r w:rsidR="00C0523E">
        <w:rPr>
          <w:rFonts w:ascii="Times New Roman" w:hAnsi="Times New Roman" w:cs="Times New Roman"/>
          <w:sz w:val="24"/>
          <w:szCs w:val="24"/>
        </w:rPr>
        <w:t xml:space="preserve"> // СПС КонсультантПлюс</w:t>
      </w:r>
    </w:p>
    <w:p w:rsidR="00657A0A" w:rsidRDefault="00657A0A" w:rsidP="00657A0A">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 xml:space="preserve"> Определение Верховного Суда РФ от 23.03.2016 N 303-ЭС16-1300 по делу N А51-23833/2013</w:t>
      </w:r>
      <w:r w:rsidR="00C0523E">
        <w:rPr>
          <w:rFonts w:ascii="Times New Roman" w:hAnsi="Times New Roman" w:cs="Times New Roman"/>
          <w:sz w:val="24"/>
          <w:szCs w:val="24"/>
        </w:rPr>
        <w:t xml:space="preserve"> // СПС КонсультантПлюс</w:t>
      </w:r>
      <w:bookmarkStart w:id="6" w:name="_GoBack"/>
      <w:bookmarkEnd w:id="6"/>
    </w:p>
    <w:p w:rsidR="00657A0A" w:rsidRDefault="00657A0A" w:rsidP="00657A0A">
      <w:pPr>
        <w:pStyle w:val="a8"/>
        <w:numPr>
          <w:ilvl w:val="0"/>
          <w:numId w:val="2"/>
        </w:numPr>
        <w:spacing w:after="0" w:line="360" w:lineRule="auto"/>
        <w:jc w:val="both"/>
        <w:rPr>
          <w:rFonts w:ascii="Times New Roman" w:hAnsi="Times New Roman" w:cs="Times New Roman"/>
          <w:sz w:val="24"/>
          <w:szCs w:val="24"/>
        </w:rPr>
      </w:pPr>
      <w:r w:rsidRPr="00657A0A">
        <w:rPr>
          <w:rFonts w:ascii="Times New Roman" w:hAnsi="Times New Roman" w:cs="Times New Roman"/>
          <w:sz w:val="24"/>
          <w:szCs w:val="24"/>
        </w:rPr>
        <w:t xml:space="preserve">БОРЬБА С КАРТЕЛЯМИ И ИНЫМИ АНТИКОНКУРЕНТНЫМИ СОГЛАШЕНИЯМИ. ИТОГИ 2019 ГОДА // fas.gov.ru URL: </w:t>
      </w:r>
      <w:r w:rsidRPr="00657A0A">
        <w:rPr>
          <w:rFonts w:ascii="Times New Roman" w:hAnsi="Times New Roman" w:cs="Times New Roman"/>
          <w:sz w:val="24"/>
          <w:szCs w:val="24"/>
        </w:rPr>
        <w:lastRenderedPageBreak/>
        <w:t>https://fas.gov.ru/system/presentations/attachments/2020/02/4/original</w:t>
      </w:r>
      <w:r w:rsidR="004137FB" w:rsidRPr="004137FB">
        <w:rPr>
          <w:rFonts w:ascii="Times New Roman" w:hAnsi="Times New Roman" w:cs="Times New Roman"/>
          <w:sz w:val="24"/>
          <w:szCs w:val="24"/>
        </w:rPr>
        <w:t>.</w:t>
      </w:r>
      <w:r w:rsidR="004137FB">
        <w:rPr>
          <w:rFonts w:ascii="Times New Roman" w:hAnsi="Times New Roman" w:cs="Times New Roman"/>
          <w:sz w:val="24"/>
          <w:szCs w:val="24"/>
          <w:lang w:val="en-US"/>
        </w:rPr>
        <w:t>pdf</w:t>
      </w:r>
      <w:r w:rsidRPr="00657A0A">
        <w:rPr>
          <w:rFonts w:ascii="Times New Roman" w:hAnsi="Times New Roman" w:cs="Times New Roman"/>
          <w:sz w:val="24"/>
          <w:szCs w:val="24"/>
        </w:rPr>
        <w:t xml:space="preserve"> (дата обращения: 18.10.2020).</w:t>
      </w:r>
    </w:p>
    <w:p w:rsidR="00657A0A" w:rsidRDefault="004137FB" w:rsidP="00657A0A">
      <w:pPr>
        <w:pStyle w:val="a8"/>
        <w:numPr>
          <w:ilvl w:val="0"/>
          <w:numId w:val="2"/>
        </w:numPr>
        <w:spacing w:after="0" w:line="360" w:lineRule="auto"/>
        <w:jc w:val="both"/>
        <w:rPr>
          <w:rFonts w:ascii="Times New Roman" w:hAnsi="Times New Roman" w:cs="Times New Roman"/>
          <w:sz w:val="24"/>
          <w:szCs w:val="24"/>
        </w:rPr>
      </w:pPr>
      <w:r w:rsidRPr="004137FB">
        <w:rPr>
          <w:rFonts w:ascii="Times New Roman" w:hAnsi="Times New Roman" w:cs="Times New Roman"/>
          <w:sz w:val="24"/>
          <w:szCs w:val="24"/>
        </w:rPr>
        <w:t>КАРТЕЛИ, «ТАРАН» И ЗАКУПКИ // fas.gov.ru URL: https://fas.gov.ru/news/1551 (дата обращения: 18.10.2020).</w:t>
      </w:r>
    </w:p>
    <w:p w:rsidR="004137FB" w:rsidRDefault="004137FB" w:rsidP="00657A0A">
      <w:pPr>
        <w:pStyle w:val="a8"/>
        <w:numPr>
          <w:ilvl w:val="0"/>
          <w:numId w:val="2"/>
        </w:numPr>
        <w:spacing w:after="0" w:line="360" w:lineRule="auto"/>
        <w:jc w:val="both"/>
        <w:rPr>
          <w:rFonts w:ascii="Times New Roman" w:hAnsi="Times New Roman" w:cs="Times New Roman"/>
          <w:sz w:val="24"/>
          <w:szCs w:val="24"/>
        </w:rPr>
      </w:pPr>
      <w:r w:rsidRPr="004137FB">
        <w:rPr>
          <w:rFonts w:ascii="Times New Roman" w:hAnsi="Times New Roman" w:cs="Times New Roman"/>
          <w:sz w:val="24"/>
          <w:szCs w:val="24"/>
        </w:rPr>
        <w:t xml:space="preserve">Интернет-интервью с А.П. </w:t>
      </w:r>
      <w:proofErr w:type="spellStart"/>
      <w:r w:rsidRPr="004137FB">
        <w:rPr>
          <w:rFonts w:ascii="Times New Roman" w:hAnsi="Times New Roman" w:cs="Times New Roman"/>
          <w:sz w:val="24"/>
          <w:szCs w:val="24"/>
        </w:rPr>
        <w:t>Тенишевым</w:t>
      </w:r>
      <w:proofErr w:type="spellEnd"/>
      <w:r w:rsidRPr="004137FB">
        <w:rPr>
          <w:rFonts w:ascii="Times New Roman" w:hAnsi="Times New Roman" w:cs="Times New Roman"/>
          <w:sz w:val="24"/>
          <w:szCs w:val="24"/>
        </w:rPr>
        <w:t>, начальником управления по борьбе с картелями Федеральной антимонопольной службы Российской Федерации: "Противодействие картелям: усиление уголовной ответственности и другие нормативно-правовые изменения антимонопольного законодательства в 2020 году" // www.consultant.ru URL: http://www.consultant.ru/law/interview/tenishev6/ (дата обращения: 18.10.2020).</w:t>
      </w:r>
    </w:p>
    <w:p w:rsidR="004137FB" w:rsidRDefault="004137FB" w:rsidP="00657A0A">
      <w:pPr>
        <w:pStyle w:val="a8"/>
        <w:numPr>
          <w:ilvl w:val="0"/>
          <w:numId w:val="2"/>
        </w:numPr>
        <w:spacing w:after="0" w:line="360" w:lineRule="auto"/>
        <w:jc w:val="both"/>
        <w:rPr>
          <w:rFonts w:ascii="Times New Roman" w:hAnsi="Times New Roman" w:cs="Times New Roman"/>
          <w:sz w:val="24"/>
          <w:szCs w:val="24"/>
        </w:rPr>
      </w:pPr>
      <w:r w:rsidRPr="004137FB">
        <w:rPr>
          <w:rFonts w:ascii="Times New Roman" w:hAnsi="Times New Roman" w:cs="Times New Roman"/>
          <w:sz w:val="24"/>
          <w:szCs w:val="24"/>
        </w:rPr>
        <w:t>БОЛЬШОЙ ЦИФРОВОЙ КОТ: промежуточные итоги и перспективы // ilns.ranepa.ru URL: https://ilns.ranepa.ru/files/konferentsii/bolshoy-tsifrovoy-kot.pdf (дата обращения: 18.10.2020).</w:t>
      </w:r>
    </w:p>
    <w:p w:rsidR="004137FB" w:rsidRDefault="004137FB" w:rsidP="00657A0A">
      <w:pPr>
        <w:pStyle w:val="a8"/>
        <w:numPr>
          <w:ilvl w:val="0"/>
          <w:numId w:val="2"/>
        </w:numPr>
        <w:spacing w:after="0" w:line="360" w:lineRule="auto"/>
        <w:jc w:val="both"/>
        <w:rPr>
          <w:rFonts w:ascii="Times New Roman" w:hAnsi="Times New Roman" w:cs="Times New Roman"/>
          <w:sz w:val="24"/>
          <w:szCs w:val="24"/>
        </w:rPr>
      </w:pPr>
      <w:r w:rsidRPr="004137FB">
        <w:rPr>
          <w:rFonts w:ascii="Times New Roman" w:hAnsi="Times New Roman" w:cs="Times New Roman"/>
          <w:sz w:val="24"/>
          <w:szCs w:val="24"/>
        </w:rPr>
        <w:t>ФАС В СМИ: СГОВОР НА ЭЛЕКТРОННОМ АУКЦИОНЕ РАСКРЫЛСЯ ИЗ-ЗА ВЗБЕСИВШЕГОСЯ РОБОТА, КОТОРЫЙ ПОДНЯЛ ЦЕНУ В ВОСЕМЬ РАЗ // fas.gov.ru URL: https://fas.gov.ru/publications/19885 (дата обращения: 18.10.2020).</w:t>
      </w:r>
    </w:p>
    <w:p w:rsidR="00F36E70" w:rsidRDefault="00F36E70" w:rsidP="00F36E70">
      <w:pPr>
        <w:spacing w:after="0" w:line="360" w:lineRule="auto"/>
        <w:jc w:val="both"/>
        <w:rPr>
          <w:rFonts w:ascii="Times New Roman" w:hAnsi="Times New Roman" w:cs="Times New Roman"/>
          <w:sz w:val="24"/>
          <w:szCs w:val="24"/>
        </w:rPr>
      </w:pPr>
    </w:p>
    <w:p w:rsidR="00F36E70" w:rsidRDefault="00F36E70" w:rsidP="00F36E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Popov Georgy Denisovich</w:t>
      </w:r>
    </w:p>
    <w:p w:rsidR="00F36E70" w:rsidRDefault="00F36E70" w:rsidP="00F36E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Ural State Law University</w:t>
      </w:r>
    </w:p>
    <w:p w:rsidR="00F36E70" w:rsidRDefault="00F36E70" w:rsidP="00F36E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Russia, Ekaterinburg</w:t>
      </w:r>
    </w:p>
    <w:p w:rsidR="00F36E70" w:rsidRDefault="00B744DB" w:rsidP="00F36E70">
      <w:pPr>
        <w:spacing w:after="0" w:line="360" w:lineRule="auto"/>
        <w:jc w:val="both"/>
        <w:rPr>
          <w:rFonts w:ascii="Times New Roman" w:hAnsi="Times New Roman" w:cs="Times New Roman"/>
          <w:sz w:val="24"/>
          <w:szCs w:val="24"/>
          <w:lang w:val="en-US"/>
        </w:rPr>
      </w:pPr>
      <w:hyperlink r:id="rId9" w:history="1">
        <w:r w:rsidR="00F36E70" w:rsidRPr="00C41558">
          <w:rPr>
            <w:rStyle w:val="a6"/>
            <w:rFonts w:ascii="Times New Roman" w:hAnsi="Times New Roman" w:cs="Times New Roman"/>
            <w:sz w:val="24"/>
            <w:szCs w:val="24"/>
            <w:lang w:val="en-US"/>
          </w:rPr>
          <w:t>giapd@bk.ru</w:t>
        </w:r>
      </w:hyperlink>
    </w:p>
    <w:p w:rsidR="00B64B2E" w:rsidRDefault="00B64B2E" w:rsidP="00F36E70">
      <w:pPr>
        <w:spacing w:after="0" w:line="360" w:lineRule="auto"/>
        <w:jc w:val="both"/>
        <w:rPr>
          <w:rFonts w:ascii="Times New Roman" w:hAnsi="Times New Roman" w:cs="Times New Roman"/>
          <w:sz w:val="24"/>
          <w:szCs w:val="24"/>
          <w:lang w:val="en-US"/>
        </w:rPr>
      </w:pPr>
    </w:p>
    <w:p w:rsidR="00F36E70" w:rsidRPr="00B64B2E" w:rsidRDefault="00B64B2E" w:rsidP="00F36E70">
      <w:pPr>
        <w:spacing w:after="0" w:line="360" w:lineRule="auto"/>
        <w:jc w:val="both"/>
        <w:rPr>
          <w:rFonts w:ascii="Times New Roman" w:hAnsi="Times New Roman" w:cs="Times New Roman"/>
          <w:b/>
          <w:sz w:val="24"/>
          <w:szCs w:val="24"/>
          <w:lang w:val="en-US"/>
        </w:rPr>
      </w:pPr>
      <w:r w:rsidRPr="00B64B2E">
        <w:rPr>
          <w:rFonts w:ascii="Times New Roman" w:hAnsi="Times New Roman" w:cs="Times New Roman"/>
          <w:b/>
          <w:sz w:val="24"/>
          <w:szCs w:val="24"/>
          <w:lang w:val="en-US"/>
        </w:rPr>
        <w:t xml:space="preserve">CARTEL AGREEMENT AT </w:t>
      </w:r>
      <w:r>
        <w:rPr>
          <w:rFonts w:ascii="Times New Roman" w:hAnsi="Times New Roman" w:cs="Times New Roman"/>
          <w:b/>
          <w:sz w:val="24"/>
          <w:szCs w:val="24"/>
          <w:lang w:val="en-US"/>
        </w:rPr>
        <w:t>BIDDING</w:t>
      </w:r>
      <w:r w:rsidRPr="00B64B2E">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FEATURES OF DETECTION AND PROVING</w:t>
      </w:r>
    </w:p>
    <w:p w:rsidR="00B64B2E" w:rsidRDefault="00B64B2E" w:rsidP="00F36E70">
      <w:pPr>
        <w:spacing w:after="0" w:line="360" w:lineRule="auto"/>
        <w:jc w:val="both"/>
        <w:rPr>
          <w:rFonts w:ascii="Times New Roman" w:hAnsi="Times New Roman" w:cs="Times New Roman"/>
          <w:b/>
          <w:sz w:val="24"/>
          <w:szCs w:val="24"/>
          <w:lang w:val="en-US"/>
        </w:rPr>
      </w:pPr>
    </w:p>
    <w:p w:rsidR="00B64B2E" w:rsidRDefault="00B64B2E" w:rsidP="00F36E70">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Annotation</w:t>
      </w:r>
      <w:r w:rsidRPr="00B64B2E">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B64B2E">
        <w:rPr>
          <w:rFonts w:ascii="Times New Roman" w:hAnsi="Times New Roman" w:cs="Times New Roman"/>
          <w:sz w:val="24"/>
          <w:szCs w:val="24"/>
          <w:lang w:val="en-US"/>
        </w:rPr>
        <w:t>The article examines the main signs and schemes for the implementation of cartels at auctions, analyzes the law enforcement practice for possible direct and indirect evidence of their existence, announces the changes proposed to be introduced into the antimonopoly legislation in terms of increasing the efficiency of identifying and suppressing cartels.</w:t>
      </w:r>
    </w:p>
    <w:p w:rsidR="001B528D" w:rsidRPr="00F36E70" w:rsidRDefault="00B64B2E" w:rsidP="00601CA5">
      <w:pPr>
        <w:spacing w:after="0" w:line="360" w:lineRule="auto"/>
        <w:jc w:val="both"/>
        <w:rPr>
          <w:rFonts w:ascii="Times New Roman" w:hAnsi="Times New Roman" w:cs="Times New Roman"/>
          <w:sz w:val="24"/>
          <w:szCs w:val="24"/>
          <w:lang w:val="en-US"/>
        </w:rPr>
      </w:pPr>
      <w:r w:rsidRPr="00B64B2E">
        <w:rPr>
          <w:rFonts w:ascii="Times New Roman" w:hAnsi="Times New Roman" w:cs="Times New Roman"/>
          <w:b/>
          <w:sz w:val="24"/>
          <w:szCs w:val="24"/>
          <w:lang w:val="en-US"/>
        </w:rPr>
        <w:t xml:space="preserve">Key words: </w:t>
      </w:r>
      <w:r w:rsidRPr="00B64B2E">
        <w:rPr>
          <w:rFonts w:ascii="Times New Roman" w:hAnsi="Times New Roman" w:cs="Times New Roman"/>
          <w:sz w:val="24"/>
          <w:szCs w:val="24"/>
          <w:lang w:val="en-US"/>
        </w:rPr>
        <w:t>cartel, bidding, competition, anti-competitive behavior, auction robot.</w:t>
      </w:r>
    </w:p>
    <w:sectPr w:rsidR="001B528D" w:rsidRPr="00F36E70">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4DB" w:rsidRDefault="00B744DB" w:rsidP="0074695E">
      <w:pPr>
        <w:spacing w:after="0" w:line="240" w:lineRule="auto"/>
      </w:pPr>
      <w:r>
        <w:separator/>
      </w:r>
    </w:p>
  </w:endnote>
  <w:endnote w:type="continuationSeparator" w:id="0">
    <w:p w:rsidR="00B744DB" w:rsidRDefault="00B744DB" w:rsidP="0074695E">
      <w:pPr>
        <w:spacing w:after="0" w:line="240" w:lineRule="auto"/>
      </w:pPr>
      <w:r>
        <w:continuationSeparator/>
      </w:r>
    </w:p>
  </w:endnote>
  <w:endnote w:id="1">
    <w:p w:rsidR="00C75BAC" w:rsidRDefault="00C75BAC">
      <w:pPr>
        <w:pStyle w:val="a3"/>
      </w:pPr>
      <w:r>
        <w:rPr>
          <w:rStyle w:val="a5"/>
        </w:rPr>
        <w:endnoteRef/>
      </w:r>
      <w:r>
        <w:t xml:space="preserve"> Ч.1 ст.11 Федерального закона </w:t>
      </w:r>
      <w:r w:rsidRPr="00C75BAC">
        <w:t xml:space="preserve">от 26.07.2006 N 135-ФЗ (ред. от </w:t>
      </w:r>
      <w:r>
        <w:t>24.04.2020</w:t>
      </w:r>
      <w:r w:rsidRPr="00C75BAC">
        <w:t>) "О защите конкуренции"</w:t>
      </w:r>
    </w:p>
  </w:endnote>
  <w:endnote w:id="2">
    <w:p w:rsidR="0074695E" w:rsidRPr="00C75BAC" w:rsidRDefault="0074695E" w:rsidP="00633C3B">
      <w:pPr>
        <w:pStyle w:val="a3"/>
        <w:jc w:val="both"/>
      </w:pPr>
      <w:r>
        <w:rPr>
          <w:rStyle w:val="a5"/>
        </w:rPr>
        <w:endnoteRef/>
      </w:r>
      <w:r w:rsidRPr="0074695E">
        <w:t>https://fas.gov.ru/system/presentations/attachments/2020/02/4/original</w:t>
      </w:r>
      <w:r w:rsidR="004137FB" w:rsidRPr="00C75BAC">
        <w:t>.</w:t>
      </w:r>
      <w:r w:rsidR="004137FB">
        <w:rPr>
          <w:lang w:val="en-US"/>
        </w:rPr>
        <w:t>pdf</w:t>
      </w:r>
    </w:p>
  </w:endnote>
  <w:endnote w:id="3">
    <w:p w:rsidR="0074695E" w:rsidRDefault="0074695E" w:rsidP="00633C3B">
      <w:pPr>
        <w:pStyle w:val="a3"/>
        <w:jc w:val="both"/>
      </w:pPr>
      <w:r>
        <w:rPr>
          <w:rStyle w:val="a5"/>
        </w:rPr>
        <w:endnoteRef/>
      </w:r>
      <w:r>
        <w:t xml:space="preserve"> </w:t>
      </w:r>
      <w:bookmarkStart w:id="0" w:name="_Hlk54110484"/>
      <w:r w:rsidR="00633C3B" w:rsidRPr="00633C3B">
        <w:t>Статья</w:t>
      </w:r>
      <w:proofErr w:type="gramStart"/>
      <w:r w:rsidR="00633C3B" w:rsidRPr="00633C3B">
        <w:t>:</w:t>
      </w:r>
      <w:r w:rsidR="005F1AA2" w:rsidRPr="005F1AA2">
        <w:t xml:space="preserve"> </w:t>
      </w:r>
      <w:r w:rsidR="00633C3B" w:rsidRPr="00633C3B">
        <w:t>Как</w:t>
      </w:r>
      <w:proofErr w:type="gramEnd"/>
      <w:r w:rsidR="00633C3B" w:rsidRPr="00633C3B">
        <w:t xml:space="preserve"> идентифицировать картель: классификация картелей, основные признаки, примеры дел (Филимонов А.А., Щерба Т.Э.) (Подготовлен для системы КонсультантПлюс, 2018)</w:t>
      </w:r>
    </w:p>
    <w:bookmarkEnd w:id="0"/>
  </w:endnote>
  <w:endnote w:id="4">
    <w:p w:rsidR="00134505" w:rsidRDefault="00134505">
      <w:pPr>
        <w:pStyle w:val="a3"/>
      </w:pPr>
      <w:r>
        <w:rPr>
          <w:rStyle w:val="a5"/>
        </w:rPr>
        <w:endnoteRef/>
      </w:r>
      <w:r>
        <w:t xml:space="preserve"> </w:t>
      </w:r>
      <w:r w:rsidRPr="00134505">
        <w:t>Статья</w:t>
      </w:r>
      <w:proofErr w:type="gramStart"/>
      <w:r w:rsidRPr="00134505">
        <w:t>: Как</w:t>
      </w:r>
      <w:proofErr w:type="gramEnd"/>
      <w:r w:rsidRPr="00134505">
        <w:t xml:space="preserve"> идентифицировать картель: классификация картелей, основные признаки, примеры дел (Филимонов А.А., Щерба Т.Э.) (Подготовлен для системы КонсультантПлюс, 2018)</w:t>
      </w:r>
    </w:p>
  </w:endnote>
  <w:endnote w:id="5">
    <w:p w:rsidR="00134505" w:rsidRDefault="00134505">
      <w:pPr>
        <w:pStyle w:val="a3"/>
      </w:pPr>
      <w:r>
        <w:rPr>
          <w:rStyle w:val="a5"/>
        </w:rPr>
        <w:endnoteRef/>
      </w:r>
      <w:r>
        <w:t xml:space="preserve"> </w:t>
      </w:r>
      <w:r w:rsidRPr="00134505">
        <w:t>Статья</w:t>
      </w:r>
      <w:proofErr w:type="gramStart"/>
      <w:r w:rsidRPr="00134505">
        <w:t>: Как</w:t>
      </w:r>
      <w:proofErr w:type="gramEnd"/>
      <w:r w:rsidRPr="00134505">
        <w:t xml:space="preserve"> идентифицировать картель: классификация картелей, основные признаки, примеры дел (Филимонов А.А., Щерба Т.Э.) (Подготовлен для системы КонсультантПлюс, 2018)</w:t>
      </w:r>
    </w:p>
  </w:endnote>
  <w:endnote w:id="6">
    <w:p w:rsidR="00D12C88" w:rsidRPr="00D12C88" w:rsidRDefault="00D12C88">
      <w:pPr>
        <w:pStyle w:val="a3"/>
      </w:pPr>
      <w:r>
        <w:rPr>
          <w:rStyle w:val="a5"/>
        </w:rPr>
        <w:endnoteRef/>
      </w:r>
      <w:r>
        <w:t xml:space="preserve"> </w:t>
      </w:r>
      <w:r w:rsidRPr="00D12C88">
        <w:t>https://fas.gov.ru/news/1551</w:t>
      </w:r>
    </w:p>
  </w:endnote>
  <w:endnote w:id="7">
    <w:p w:rsidR="005F1AA2" w:rsidRPr="00C75BAC" w:rsidRDefault="005F1AA2">
      <w:pPr>
        <w:pStyle w:val="a3"/>
      </w:pPr>
      <w:r>
        <w:rPr>
          <w:rStyle w:val="a5"/>
        </w:rPr>
        <w:endnoteRef/>
      </w:r>
      <w:r>
        <w:t xml:space="preserve"> </w:t>
      </w:r>
      <w:r w:rsidRPr="005F1AA2">
        <w:t>Статья</w:t>
      </w:r>
      <w:proofErr w:type="gramStart"/>
      <w:r w:rsidRPr="005F1AA2">
        <w:t>: Как</w:t>
      </w:r>
      <w:proofErr w:type="gramEnd"/>
      <w:r w:rsidRPr="005F1AA2">
        <w:t xml:space="preserve"> идентифицировать картель: классификация картелей, основные признаки, примеры дел (Филимонов А.А., Щерба Т.Э.) (Подготовлен для системы КонсультантПлюс, 2018)</w:t>
      </w:r>
    </w:p>
  </w:endnote>
  <w:endnote w:id="8">
    <w:p w:rsidR="005F1AA2" w:rsidRPr="005F1AA2" w:rsidRDefault="005F1AA2">
      <w:pPr>
        <w:pStyle w:val="a3"/>
      </w:pPr>
      <w:r>
        <w:rPr>
          <w:rStyle w:val="a5"/>
        </w:rPr>
        <w:endnoteRef/>
      </w:r>
      <w:r>
        <w:t xml:space="preserve"> </w:t>
      </w:r>
      <w:bookmarkStart w:id="1" w:name="_Hlk53943478"/>
      <w:r w:rsidRPr="005F1AA2">
        <w:t>Постановление ФАС Московской области от 26.12.2013 N А40-94472/12-17-918</w:t>
      </w:r>
      <w:bookmarkEnd w:id="1"/>
    </w:p>
  </w:endnote>
  <w:endnote w:id="9">
    <w:p w:rsidR="005F1AA2" w:rsidRPr="005F1AA2" w:rsidRDefault="005F1AA2">
      <w:pPr>
        <w:pStyle w:val="a3"/>
      </w:pPr>
      <w:r>
        <w:rPr>
          <w:rStyle w:val="a5"/>
        </w:rPr>
        <w:endnoteRef/>
      </w:r>
      <w:r>
        <w:t xml:space="preserve"> </w:t>
      </w:r>
      <w:r w:rsidRPr="005F1AA2">
        <w:t>Разъяснение N 3 Президиума ФАС России "Доказывание недопустимых соглашений (в том числе картелей) и согласованных действий на товарных рынках, в том числе на торгах" (утв. протоколом Президиума ФАС России от 17.02.2016 N 3)</w:t>
      </w:r>
    </w:p>
  </w:endnote>
  <w:endnote w:id="10">
    <w:p w:rsidR="005F1AA2" w:rsidRPr="005F1AA2" w:rsidRDefault="005F1AA2">
      <w:pPr>
        <w:pStyle w:val="a3"/>
      </w:pPr>
      <w:r>
        <w:rPr>
          <w:rStyle w:val="a5"/>
        </w:rPr>
        <w:endnoteRef/>
      </w:r>
      <w:r>
        <w:t xml:space="preserve"> </w:t>
      </w:r>
      <w:r w:rsidRPr="005F1AA2">
        <w:t>Постановление Арбитражного суда Северо-Западного округа от 23.04.2015 N А42-2564/2014</w:t>
      </w:r>
    </w:p>
  </w:endnote>
  <w:endnote w:id="11">
    <w:p w:rsidR="00CD4341" w:rsidRPr="00CD4341" w:rsidRDefault="00CD4341">
      <w:pPr>
        <w:pStyle w:val="a3"/>
      </w:pPr>
      <w:r>
        <w:rPr>
          <w:rStyle w:val="a5"/>
        </w:rPr>
        <w:endnoteRef/>
      </w:r>
      <w:r>
        <w:t xml:space="preserve"> </w:t>
      </w:r>
      <w:r w:rsidRPr="00CD4341">
        <w:t>Решени</w:t>
      </w:r>
      <w:r>
        <w:t>е</w:t>
      </w:r>
      <w:r w:rsidRPr="00CD4341">
        <w:t xml:space="preserve"> ФАС России по делу N 1 11/158-10 от 06.07.2011</w:t>
      </w:r>
    </w:p>
  </w:endnote>
  <w:endnote w:id="12">
    <w:p w:rsidR="00CD4341" w:rsidRDefault="00CD4341">
      <w:pPr>
        <w:pStyle w:val="a3"/>
      </w:pPr>
      <w:r>
        <w:rPr>
          <w:rStyle w:val="a5"/>
        </w:rPr>
        <w:endnoteRef/>
      </w:r>
      <w:r>
        <w:t xml:space="preserve"> </w:t>
      </w:r>
      <w:r w:rsidRPr="00CD4341">
        <w:t>Определени</w:t>
      </w:r>
      <w:r>
        <w:t>е</w:t>
      </w:r>
      <w:r w:rsidRPr="00CD4341">
        <w:t xml:space="preserve"> Верховного Суда РФ от 23.03.2016 N 303-ЭС16-1300 по делу N А51-23833/2013</w:t>
      </w:r>
    </w:p>
  </w:endnote>
  <w:endnote w:id="13">
    <w:p w:rsidR="00CD4341" w:rsidRPr="00C75BAC" w:rsidRDefault="00CD4341">
      <w:pPr>
        <w:pStyle w:val="a3"/>
      </w:pPr>
      <w:r>
        <w:rPr>
          <w:rStyle w:val="a5"/>
        </w:rPr>
        <w:endnoteRef/>
      </w:r>
      <w:r>
        <w:t xml:space="preserve"> </w:t>
      </w:r>
      <w:r w:rsidRPr="00CD4341">
        <w:t xml:space="preserve">"Конкурентное право: Учебник" (под общ. ред. М.А. Егоровой, А.Ю. </w:t>
      </w:r>
      <w:proofErr w:type="spellStart"/>
      <w:r w:rsidRPr="00CD4341">
        <w:t>Кинева</w:t>
      </w:r>
      <w:proofErr w:type="spellEnd"/>
      <w:r w:rsidRPr="00CD4341">
        <w:t>) (науч. ред. И.Ю. Артемьев) ("</w:t>
      </w:r>
      <w:proofErr w:type="spellStart"/>
      <w:r w:rsidRPr="00CD4341">
        <w:t>Юстицинформ</w:t>
      </w:r>
      <w:proofErr w:type="spellEnd"/>
      <w:r w:rsidRPr="00CD4341">
        <w:t>", 2018)</w:t>
      </w:r>
    </w:p>
  </w:endnote>
  <w:endnote w:id="14">
    <w:p w:rsidR="000C59DC" w:rsidRPr="000C59DC" w:rsidRDefault="000C59DC">
      <w:pPr>
        <w:pStyle w:val="a3"/>
      </w:pPr>
      <w:r>
        <w:rPr>
          <w:rStyle w:val="a5"/>
        </w:rPr>
        <w:endnoteRef/>
      </w:r>
      <w:r>
        <w:t xml:space="preserve"> </w:t>
      </w:r>
      <w:r w:rsidRPr="000C59DC">
        <w:t xml:space="preserve">Распоряжение Правительства РФ от 17.06.2019 N 1314-р </w:t>
      </w:r>
      <w:r>
        <w:t>«</w:t>
      </w:r>
      <w:r w:rsidR="002E00FD">
        <w:t xml:space="preserve">Об утверждении </w:t>
      </w:r>
      <w:r w:rsidRPr="000C59DC">
        <w:t>Межведомственн</w:t>
      </w:r>
      <w:r w:rsidR="002E00FD">
        <w:t>ой</w:t>
      </w:r>
      <w:r w:rsidRPr="000C59DC">
        <w:t xml:space="preserve"> программ</w:t>
      </w:r>
      <w:r w:rsidR="002E00FD">
        <w:t>ы</w:t>
      </w:r>
      <w:r w:rsidRPr="000C59DC">
        <w:t xml:space="preserve"> мер по выявлению и пресечению картелей и иных ограничивающих конкуренцию соглашений на 2019 - 2023 годы</w:t>
      </w:r>
      <w:r>
        <w:t>»</w:t>
      </w:r>
    </w:p>
  </w:endnote>
  <w:endnote w:id="15">
    <w:p w:rsidR="00C0523E" w:rsidRDefault="00C0523E">
      <w:pPr>
        <w:pStyle w:val="a3"/>
      </w:pPr>
      <w:r>
        <w:rPr>
          <w:rStyle w:val="a5"/>
        </w:rPr>
        <w:endnoteRef/>
      </w:r>
      <w:r>
        <w:t xml:space="preserve"> </w:t>
      </w:r>
      <w:r w:rsidRPr="00C0523E">
        <w:t>Кодекс Российской Федерации об административных правонарушениях от 30.12.2001 N 195-ФЗ (ред. от 31.07.2020) (с изм. и доп., вступ. в силу с 11.08.2020)</w:t>
      </w:r>
    </w:p>
  </w:endnote>
  <w:endnote w:id="16">
    <w:p w:rsidR="000C59DC" w:rsidRDefault="000C59DC">
      <w:pPr>
        <w:pStyle w:val="a3"/>
      </w:pPr>
      <w:r>
        <w:rPr>
          <w:rStyle w:val="a5"/>
        </w:rPr>
        <w:endnoteRef/>
      </w:r>
      <w:r>
        <w:t xml:space="preserve"> </w:t>
      </w:r>
      <w:r w:rsidRPr="000C59DC">
        <w:t>http://www.consultant.ru/law/interview/tenishev6/</w:t>
      </w:r>
    </w:p>
  </w:endnote>
  <w:endnote w:id="17">
    <w:p w:rsidR="000C59DC" w:rsidRDefault="000C59DC">
      <w:pPr>
        <w:pStyle w:val="a3"/>
      </w:pPr>
      <w:r>
        <w:rPr>
          <w:rStyle w:val="a5"/>
        </w:rPr>
        <w:endnoteRef/>
      </w:r>
      <w:r>
        <w:t xml:space="preserve"> </w:t>
      </w:r>
      <w:r w:rsidRPr="000C59DC">
        <w:t>https://ilns.ranepa.ru/files/konferentsii/bolshoy-tsifrovoy-kot.pdf</w:t>
      </w:r>
    </w:p>
  </w:endnote>
  <w:endnote w:id="18">
    <w:p w:rsidR="000C59DC" w:rsidRDefault="000C59DC">
      <w:pPr>
        <w:pStyle w:val="a3"/>
      </w:pPr>
      <w:r>
        <w:rPr>
          <w:rStyle w:val="a5"/>
        </w:rPr>
        <w:endnoteRef/>
      </w:r>
      <w:r>
        <w:t xml:space="preserve"> </w:t>
      </w:r>
      <w:r w:rsidRPr="000C59DC">
        <w:t>https://fas.gov.ru/publications/19885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4DB" w:rsidRDefault="00B744DB" w:rsidP="0074695E">
      <w:pPr>
        <w:spacing w:after="0" w:line="240" w:lineRule="auto"/>
      </w:pPr>
      <w:r>
        <w:separator/>
      </w:r>
    </w:p>
  </w:footnote>
  <w:footnote w:type="continuationSeparator" w:id="0">
    <w:p w:rsidR="00B744DB" w:rsidRDefault="00B744DB" w:rsidP="00746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574BA"/>
    <w:multiLevelType w:val="hybridMultilevel"/>
    <w:tmpl w:val="CBCAC0B2"/>
    <w:lvl w:ilvl="0" w:tplc="87429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865115"/>
    <w:multiLevelType w:val="hybridMultilevel"/>
    <w:tmpl w:val="99420578"/>
    <w:lvl w:ilvl="0" w:tplc="DFFC5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3C"/>
    <w:rsid w:val="000035E1"/>
    <w:rsid w:val="000036EC"/>
    <w:rsid w:val="00033CDC"/>
    <w:rsid w:val="00090BAC"/>
    <w:rsid w:val="000A23B2"/>
    <w:rsid w:val="000C59DC"/>
    <w:rsid w:val="000D797D"/>
    <w:rsid w:val="000F1A45"/>
    <w:rsid w:val="00134505"/>
    <w:rsid w:val="00155E69"/>
    <w:rsid w:val="00163C16"/>
    <w:rsid w:val="001A6B43"/>
    <w:rsid w:val="001B528D"/>
    <w:rsid w:val="001D4C53"/>
    <w:rsid w:val="0025707E"/>
    <w:rsid w:val="00264030"/>
    <w:rsid w:val="00274210"/>
    <w:rsid w:val="0027510B"/>
    <w:rsid w:val="002B4E99"/>
    <w:rsid w:val="002E00FD"/>
    <w:rsid w:val="003A3344"/>
    <w:rsid w:val="003B187D"/>
    <w:rsid w:val="003D58D2"/>
    <w:rsid w:val="00400522"/>
    <w:rsid w:val="004137FB"/>
    <w:rsid w:val="004848DC"/>
    <w:rsid w:val="004B0F08"/>
    <w:rsid w:val="004F05A1"/>
    <w:rsid w:val="005044A1"/>
    <w:rsid w:val="00526C0F"/>
    <w:rsid w:val="005E307A"/>
    <w:rsid w:val="005F1AA2"/>
    <w:rsid w:val="005F531C"/>
    <w:rsid w:val="00601CA5"/>
    <w:rsid w:val="00601F37"/>
    <w:rsid w:val="00633C3B"/>
    <w:rsid w:val="00642ABD"/>
    <w:rsid w:val="006550DB"/>
    <w:rsid w:val="00657A0A"/>
    <w:rsid w:val="006A57D7"/>
    <w:rsid w:val="006C0031"/>
    <w:rsid w:val="006E7562"/>
    <w:rsid w:val="006F144D"/>
    <w:rsid w:val="00712374"/>
    <w:rsid w:val="007212FE"/>
    <w:rsid w:val="0074695E"/>
    <w:rsid w:val="00777142"/>
    <w:rsid w:val="00793958"/>
    <w:rsid w:val="007A3941"/>
    <w:rsid w:val="007B26B0"/>
    <w:rsid w:val="007E4694"/>
    <w:rsid w:val="007E50C7"/>
    <w:rsid w:val="00803A73"/>
    <w:rsid w:val="00833F32"/>
    <w:rsid w:val="00866B03"/>
    <w:rsid w:val="0086753C"/>
    <w:rsid w:val="00872D07"/>
    <w:rsid w:val="008E7276"/>
    <w:rsid w:val="0091605F"/>
    <w:rsid w:val="0091630C"/>
    <w:rsid w:val="0092793F"/>
    <w:rsid w:val="00994436"/>
    <w:rsid w:val="00994C41"/>
    <w:rsid w:val="009D35A7"/>
    <w:rsid w:val="00A14849"/>
    <w:rsid w:val="00A23536"/>
    <w:rsid w:val="00A278BB"/>
    <w:rsid w:val="00A60474"/>
    <w:rsid w:val="00AD1A21"/>
    <w:rsid w:val="00B31326"/>
    <w:rsid w:val="00B64B2E"/>
    <w:rsid w:val="00B744DB"/>
    <w:rsid w:val="00BA57A2"/>
    <w:rsid w:val="00BB66D4"/>
    <w:rsid w:val="00BC646E"/>
    <w:rsid w:val="00BE5F43"/>
    <w:rsid w:val="00C0523E"/>
    <w:rsid w:val="00C512F5"/>
    <w:rsid w:val="00C56AC3"/>
    <w:rsid w:val="00C611F6"/>
    <w:rsid w:val="00C75BAC"/>
    <w:rsid w:val="00CA77F7"/>
    <w:rsid w:val="00CB033B"/>
    <w:rsid w:val="00CD171F"/>
    <w:rsid w:val="00CD4341"/>
    <w:rsid w:val="00CE571F"/>
    <w:rsid w:val="00D12C88"/>
    <w:rsid w:val="00D14118"/>
    <w:rsid w:val="00D6622A"/>
    <w:rsid w:val="00D77455"/>
    <w:rsid w:val="00E047A0"/>
    <w:rsid w:val="00E55789"/>
    <w:rsid w:val="00E678B6"/>
    <w:rsid w:val="00F36E70"/>
    <w:rsid w:val="00FA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33B"/>
  <w15:chartTrackingRefBased/>
  <w15:docId w15:val="{4DF3B83D-B2D9-4BF5-9E1E-D900EF90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4695E"/>
    <w:pPr>
      <w:spacing w:after="0" w:line="240" w:lineRule="auto"/>
    </w:pPr>
    <w:rPr>
      <w:sz w:val="20"/>
      <w:szCs w:val="20"/>
    </w:rPr>
  </w:style>
  <w:style w:type="character" w:customStyle="1" w:styleId="a4">
    <w:name w:val="Текст концевой сноски Знак"/>
    <w:basedOn w:val="a0"/>
    <w:link w:val="a3"/>
    <w:uiPriority w:val="99"/>
    <w:semiHidden/>
    <w:rsid w:val="0074695E"/>
    <w:rPr>
      <w:sz w:val="20"/>
      <w:szCs w:val="20"/>
    </w:rPr>
  </w:style>
  <w:style w:type="character" w:styleId="a5">
    <w:name w:val="endnote reference"/>
    <w:basedOn w:val="a0"/>
    <w:uiPriority w:val="99"/>
    <w:semiHidden/>
    <w:unhideWhenUsed/>
    <w:rsid w:val="0074695E"/>
    <w:rPr>
      <w:vertAlign w:val="superscript"/>
    </w:rPr>
  </w:style>
  <w:style w:type="character" w:styleId="a6">
    <w:name w:val="Hyperlink"/>
    <w:basedOn w:val="a0"/>
    <w:uiPriority w:val="99"/>
    <w:unhideWhenUsed/>
    <w:rsid w:val="007E4694"/>
    <w:rPr>
      <w:color w:val="0563C1" w:themeColor="hyperlink"/>
      <w:u w:val="single"/>
    </w:rPr>
  </w:style>
  <w:style w:type="character" w:styleId="a7">
    <w:name w:val="Unresolved Mention"/>
    <w:basedOn w:val="a0"/>
    <w:uiPriority w:val="99"/>
    <w:semiHidden/>
    <w:unhideWhenUsed/>
    <w:rsid w:val="007E4694"/>
    <w:rPr>
      <w:color w:val="605E5C"/>
      <w:shd w:val="clear" w:color="auto" w:fill="E1DFDD"/>
    </w:rPr>
  </w:style>
  <w:style w:type="paragraph" w:styleId="a8">
    <w:name w:val="List Paragraph"/>
    <w:basedOn w:val="a"/>
    <w:uiPriority w:val="34"/>
    <w:qFormat/>
    <w:rsid w:val="0016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pd@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pd@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506C-9B74-496A-88E1-AA76E270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2864</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Попов</dc:creator>
  <cp:keywords/>
  <dc:description/>
  <cp:lastModifiedBy>Гоша</cp:lastModifiedBy>
  <cp:revision>4</cp:revision>
  <dcterms:created xsi:type="dcterms:W3CDTF">2020-10-18T15:22:00Z</dcterms:created>
  <dcterms:modified xsi:type="dcterms:W3CDTF">2020-10-20T13:31:00Z</dcterms:modified>
</cp:coreProperties>
</file>